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14" w:name="Xce600f72cb23def82478a30d868cf03fbc410f5"/>
    <w:p>
      <w:pPr>
        <w:pStyle w:val="berschrift1"/>
      </w:pPr>
      <w:r>
        <w:t xml:space="preserve">CEOS-ARD - Optical - Nighttime Light Surface Radiance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Nighttime Light Surface Radiance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Brian Killough, NASA Langley Research Center, CEOS Systems Engineering Office, USA</w:t>
      </w:r>
    </w:p>
    <w:p>
      <w:pPr>
        <w:pStyle w:val="Compact"/>
        <w:numPr>
          <w:ilvl w:val="0"/>
          <w:numId w:val="1002"/>
        </w:numPr>
      </w:pPr>
      <w:r>
        <w:t xml:space="preserve">Bhaskar Ramachandran, NASA Goddard Space Flight Center, USA</w:t>
      </w:r>
    </w:p>
    <w:p>
      <w:pPr>
        <w:pStyle w:val="Compact"/>
        <w:numPr>
          <w:ilvl w:val="0"/>
          <w:numId w:val="1002"/>
        </w:numPr>
      </w:pPr>
      <w:r>
        <w:t xml:space="preserve">Miguel Román, Leidos Inc., Civil Group, USA</w:t>
      </w:r>
    </w:p>
    <w:p>
      <w:pPr>
        <w:pStyle w:val="Compact"/>
        <w:numPr>
          <w:ilvl w:val="0"/>
          <w:numId w:val="1002"/>
        </w:numPr>
      </w:pPr>
      <w:r>
        <w:t xml:space="preserve">Zhuosen Wang, University of Maryland/GSFC, USA</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1.0.0-draft</w:t>
      </w:r>
    </w:p>
    <w:p>
      <w:pPr>
        <w:pStyle w:val="Textkrper"/>
      </w:pPr>
      <w:r>
        <w:rPr>
          <w:b/>
          <w:bCs/>
        </w:rPr>
        <w:t xml:space="preserve">Applies to:</w:t>
      </w:r>
      <w:r>
        <w:t xml:space="preserve"> </w:t>
      </w:r>
      <w:r>
        <w:t xml:space="preserve">Data collected by Optical sensors</w:t>
      </w:r>
    </w:p>
    <w:bookmarkEnd w:id="29"/>
    <w:bookmarkStart w:id="30"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30"/>
    <w:bookmarkStart w:id="31"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1"/>
    <w:bookmarkStart w:id="192"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0"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unc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op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tim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meta-timsr</w:t>
      </w:r>
    </w:p>
    <w:bookmarkStart w:id="40"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0"/>
    <w:bookmarkStart w:id="41"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geoasr"/>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meta-geoasr</w:t>
      </w:r>
    </w:p>
    <w:bookmarkStart w:id="44"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w:t>
      </w:r>
    </w:p>
    <w:bookmarkEnd w:id="44"/>
    <w:bookmarkStart w:id="45"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crsop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48" w:name="threshold-requirements-4"/>
    <w:p>
      <w:pPr>
        <w:pStyle w:val="berschrift5"/>
      </w:pPr>
      <w:r>
        <w:t xml:space="preserve">Threshold requirements:</w:t>
      </w:r>
    </w:p>
    <w:p>
      <w:pPr>
        <w:pStyle w:val="FirstParagraph"/>
      </w:pPr>
      <w:r>
        <w:t xml:space="preserve">The metadata lists the coordinate reference system that has been used.</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0"/>
    <w:bookmarkEnd w:id="51"/>
    <w:bookmarkStart w:id="55" w:name="sec:meta-mpnl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meta-mpnlsr</w:t>
      </w:r>
    </w:p>
    <w:bookmarkStart w:id="52" w:name="threshold-requirements-5"/>
    <w:p>
      <w:pPr>
        <w:pStyle w:val="berschrift5"/>
      </w:pPr>
      <w:r>
        <w:t xml:space="preserve">Threshold requirements:</w:t>
      </w:r>
    </w:p>
    <w:p>
      <w:pPr>
        <w:pStyle w:val="FirstParagraph"/>
      </w:pPr>
      <w:r>
        <w:t xml:space="preserve">The metadata lists the map projection that has been used and any relevant parameters required in relation to use of data in that map projection.</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4"/>
    <w:bookmarkEnd w:id="55"/>
    <w:bookmarkStart w:id="59" w:name="sec:meta-gmc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meta-gmcmsr</w:t>
      </w:r>
    </w:p>
    <w:bookmarkStart w:id="56" w:name="threshold-requirements-6"/>
    <w:p>
      <w:pPr>
        <w:pStyle w:val="berschrift5"/>
      </w:pPr>
      <w:r>
        <w:t xml:space="preserve">Threshold requirements:</w:t>
      </w:r>
    </w:p>
    <w:p>
      <w:pPr>
        <w:pStyle w:val="FirstParagraph"/>
      </w:pPr>
      <w:r>
        <w:t xml:space="preserve">Not required.</w:t>
      </w:r>
      <w:r>
        <w:t xml:space="preserve"> </w:t>
      </w:r>
    </w:p>
    <w:bookmarkEnd w:id="56"/>
    <w:bookmarkStart w:id="57"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7"/>
    <w:bookmarkStart w:id="58"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8"/>
    <w:bookmarkEnd w:id="59"/>
    <w:bookmarkStart w:id="63" w:name="sec:meta-gma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meta-gmasr</w:t>
      </w:r>
    </w:p>
    <w:bookmarkStart w:id="60" w:name="threshold-requirements-7"/>
    <w:p>
      <w:pPr>
        <w:pStyle w:val="berschrift5"/>
      </w:pPr>
      <w:r>
        <w:t xml:space="preserve">Threshold requirements:</w:t>
      </w:r>
    </w:p>
    <w:p>
      <w:pPr>
        <w:pStyle w:val="FirstParagraph"/>
      </w:pPr>
      <w:r>
        <w:t xml:space="preserve">Not required.</w:t>
      </w:r>
      <w:r>
        <w:t xml:space="preserve"> </w:t>
      </w:r>
    </w:p>
    <w:bookmarkEnd w:id="60"/>
    <w:bookmarkStart w:id="61"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1"/>
    <w:bookmarkStart w:id="62"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2"/>
    <w:bookmarkEnd w:id="63"/>
    <w:bookmarkStart w:id="67" w:name="sec:meta-insop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meta-insopt</w:t>
      </w:r>
    </w:p>
    <w:bookmarkStart w:id="64" w:name="threshold-requirements-8"/>
    <w:p>
      <w:pPr>
        <w:pStyle w:val="berschrift5"/>
      </w:pPr>
      <w:r>
        <w:t xml:space="preserve">Threshold requirements:</w:t>
      </w:r>
    </w:p>
    <w:p>
      <w:pPr>
        <w:pStyle w:val="FirstParagraph"/>
      </w:pPr>
      <w:r>
        <w:t xml:space="preserve">The instrument used to collect the data is identified in the metadata.</w:t>
      </w:r>
    </w:p>
    <w:bookmarkEnd w:id="64"/>
    <w:bookmarkStart w:id="65"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5"/>
    <w:bookmarkStart w:id="66"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6"/>
    <w:bookmarkEnd w:id="67"/>
    <w:bookmarkStart w:id="71" w:name="sec:meta-spcb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68"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8"/>
    <w:bookmarkStart w:id="69"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69"/>
    <w:bookmarkStart w:id="70"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0"/>
    <w:bookmarkEnd w:id="71"/>
    <w:bookmarkStart w:id="75" w:name="sec:meta-scaop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2" w:name="threshold-requirements-10"/>
    <w:p>
      <w:pPr>
        <w:pStyle w:val="berschrift5"/>
      </w:pPr>
      <w:r>
        <w:t xml:space="preserve">Threshold requirements:</w:t>
      </w:r>
    </w:p>
    <w:p>
      <w:pPr>
        <w:pStyle w:val="FirstParagraph"/>
      </w:pPr>
      <w:r>
        <w:t xml:space="preserve">Not required.</w:t>
      </w:r>
      <w:r>
        <w:t xml:space="preserve"> </w:t>
      </w:r>
    </w:p>
    <w:bookmarkEnd w:id="72"/>
    <w:bookmarkStart w:id="73"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3"/>
    <w:bookmarkStart w:id="74"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4"/>
    <w:bookmarkEnd w:id="75"/>
    <w:bookmarkStart w:id="79" w:name="sec:meta-rma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meta-rmasr</w:t>
      </w:r>
    </w:p>
    <w:bookmarkStart w:id="76" w:name="threshold-requirements-11"/>
    <w:p>
      <w:pPr>
        <w:pStyle w:val="berschrift5"/>
      </w:pPr>
      <w:r>
        <w:t xml:space="preserve">Threshold requirements:</w:t>
      </w:r>
    </w:p>
    <w:p>
      <w:pPr>
        <w:pStyle w:val="FirstParagraph"/>
      </w:pPr>
      <w:r>
        <w:t xml:space="preserve">Not required.</w:t>
      </w:r>
      <w:r>
        <w:t xml:space="preserve"> </w:t>
      </w:r>
    </w:p>
    <w:bookmarkEnd w:id="76"/>
    <w:bookmarkStart w:id="77"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8"/>
        </w:numPr>
      </w:pPr>
      <w:r>
        <w:t xml:space="preserve">Information on radiometric accuracy should be available in the metadata as a single DOI landing page.</w:t>
      </w:r>
    </w:p>
    <w:bookmarkEnd w:id="77"/>
    <w:bookmarkStart w:id="78"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8"/>
    <w:bookmarkEnd w:id="79"/>
    <w:bookmarkStart w:id="83" w:name="sec:meta-algo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meta-algosr</w:t>
      </w:r>
    </w:p>
    <w:bookmarkStart w:id="80"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20"/>
        </w:numPr>
      </w:pPr>
      <w:r>
        <w:t xml:space="preserve">Information on algorithms should be available in the metadata as a single DOI landing page.</w:t>
      </w:r>
    </w:p>
    <w:bookmarkEnd w:id="80"/>
    <w:bookmarkStart w:id="81"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1"/>
    <w:bookmarkStart w:id="82"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2"/>
    <w:bookmarkEnd w:id="83"/>
    <w:bookmarkStart w:id="87" w:name="sec:meta-auxop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84"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4"/>
    <w:bookmarkStart w:id="85"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5"/>
    <w:bookmarkStart w:id="86"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6"/>
    <w:bookmarkEnd w:id="87"/>
    <w:bookmarkStart w:id="91" w:name="sec:meta-pcpnls"/>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meta-pcpnls</w:t>
      </w:r>
    </w:p>
    <w:bookmarkStart w:id="88" w:name="threshold-requirements-14"/>
    <w:p>
      <w:pPr>
        <w:pStyle w:val="berschrift5"/>
      </w:pPr>
      <w:r>
        <w:t xml:space="preserve">Threshold requirements:</w:t>
      </w:r>
    </w:p>
    <w:p>
      <w:pPr>
        <w:pStyle w:val="FirstParagraph"/>
      </w:pPr>
      <w:r>
        <w:t xml:space="preserve">Not required.</w:t>
      </w:r>
      <w:r>
        <w:t xml:space="preserve"> </w:t>
      </w:r>
    </w:p>
    <w:bookmarkEnd w:id="88"/>
    <w:bookmarkStart w:id="89"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the organization that performed the processing, and the versions of software used, giving full transparency to the users.</w:t>
      </w:r>
    </w:p>
    <w:bookmarkEnd w:id="89"/>
    <w:bookmarkStart w:id="90"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0"/>
    <w:bookmarkEnd w:id="91"/>
    <w:bookmarkStart w:id="95" w:name="sec:meta-dacce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w:t>
      </w:r>
    </w:p>
    <w:bookmarkStart w:id="92"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2"/>
    <w:bookmarkStart w:id="93" w:name="goal-requirements-15"/>
    <w:p>
      <w:pPr>
        <w:pStyle w:val="berschrift5"/>
      </w:pPr>
      <w:r>
        <w:t xml:space="preserve">Goal requirements:</w:t>
      </w:r>
    </w:p>
    <w:p>
      <w:pPr>
        <w:pStyle w:val="FirstParagraph"/>
      </w:pPr>
      <w:r>
        <w:t xml:space="preserve">As threshold.</w:t>
      </w:r>
      <w:r>
        <w:t xml:space="preserve"> </w:t>
      </w:r>
    </w:p>
    <w:bookmarkEnd w:id="93"/>
    <w:bookmarkStart w:id="94"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4"/>
    <w:bookmarkEnd w:id="95"/>
    <w:bookmarkStart w:id="99" w:name="sec:meta-dq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meta-dqlsr</w:t>
      </w:r>
    </w:p>
    <w:bookmarkStart w:id="96" w:name="threshold-requirements-16"/>
    <w:p>
      <w:pPr>
        <w:pStyle w:val="berschrift5"/>
      </w:pPr>
      <w:r>
        <w:t xml:space="preserve">Threshold requirements:</w:t>
      </w:r>
    </w:p>
    <w:p>
      <w:pPr>
        <w:pStyle w:val="FirstParagraph"/>
      </w:pPr>
      <w:r>
        <w:t xml:space="preserve">Not required.</w:t>
      </w:r>
      <w:r>
        <w:t xml:space="preserve"> </w:t>
      </w:r>
    </w:p>
    <w:bookmarkEnd w:id="96"/>
    <w:bookmarkStart w:id="97"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97"/>
    <w:bookmarkStart w:id="98"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98"/>
    <w:bookmarkEnd w:id="99"/>
    <w:bookmarkEnd w:id="100"/>
    <w:bookmarkStart w:id="161"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04"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1"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1"/>
    <w:bookmarkStart w:id="102" w:name="goal-requirements-17"/>
    <w:p>
      <w:pPr>
        <w:pStyle w:val="berschrift5"/>
      </w:pPr>
      <w:r>
        <w:t xml:space="preserve">Goal requirements:</w:t>
      </w:r>
    </w:p>
    <w:p>
      <w:pPr>
        <w:pStyle w:val="FirstParagraph"/>
      </w:pPr>
      <w:r>
        <w:t xml:space="preserve">As threshold.</w:t>
      </w:r>
      <w:r>
        <w:t xml:space="preserve"> </w:t>
      </w:r>
    </w:p>
    <w:bookmarkEnd w:id="102"/>
    <w:bookmarkStart w:id="103"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3"/>
    <w:bookmarkEnd w:id="104"/>
    <w:bookmarkStart w:id="108"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05"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5"/>
    <w:bookmarkStart w:id="106" w:name="goal-requirements-18"/>
    <w:p>
      <w:pPr>
        <w:pStyle w:val="berschrift5"/>
      </w:pPr>
      <w:r>
        <w:t xml:space="preserve">Goal requirements:</w:t>
      </w:r>
    </w:p>
    <w:p>
      <w:pPr>
        <w:pStyle w:val="FirstParagraph"/>
      </w:pPr>
      <w:r>
        <w:t xml:space="preserve">As threshold.</w:t>
      </w:r>
      <w:r>
        <w:t xml:space="preserve"> </w:t>
      </w:r>
    </w:p>
    <w:bookmarkEnd w:id="106"/>
    <w:bookmarkStart w:id="107"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07"/>
    <w:bookmarkEnd w:id="108"/>
    <w:bookmarkStart w:id="112"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09"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2"/>
        </w:numPr>
      </w:pPr>
      <w:r>
        <w:t xml:space="preserve">This may be the result of missing ancillary data for a subset of the pixels.</w:t>
      </w:r>
    </w:p>
    <w:bookmarkEnd w:id="109"/>
    <w:bookmarkStart w:id="110"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0"/>
    <w:bookmarkStart w:id="111"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1"/>
    <w:bookmarkEnd w:id="112"/>
    <w:bookmarkStart w:id="116"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13"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3"/>
    <w:bookmarkStart w:id="114" w:name="goal-requirements-20"/>
    <w:p>
      <w:pPr>
        <w:pStyle w:val="berschrift5"/>
      </w:pPr>
      <w:r>
        <w:t xml:space="preserve">Goal requirements:</w:t>
      </w:r>
    </w:p>
    <w:p>
      <w:pPr>
        <w:pStyle w:val="FirstParagraph"/>
      </w:pPr>
      <w:r>
        <w:t xml:space="preserve">Metadata indicates which pixels are saturated for each spectral band.</w:t>
      </w:r>
    </w:p>
    <w:bookmarkEnd w:id="114"/>
    <w:bookmarkStart w:id="115"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5"/>
    <w:bookmarkEnd w:id="116"/>
    <w:bookmarkStart w:id="120"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17" w:name="threshold-requirements-21"/>
    <w:p>
      <w:pPr>
        <w:pStyle w:val="berschrift5"/>
      </w:pPr>
      <w:r>
        <w:t xml:space="preserve">Threshold requirements:</w:t>
      </w:r>
    </w:p>
    <w:p>
      <w:pPr>
        <w:pStyle w:val="FirstParagraph"/>
      </w:pPr>
      <w:r>
        <w:t xml:space="preserve">Metadata indicates whether a pixel is assessed as being cloud.</w:t>
      </w:r>
    </w:p>
    <w:bookmarkEnd w:id="117"/>
    <w:bookmarkStart w:id="118"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8"/>
    <w:bookmarkStart w:id="119"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19"/>
    <w:bookmarkEnd w:id="120"/>
    <w:bookmarkStart w:id="124" w:name="sec:pxl-ppcsnl"/>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pxl-ppcsnl</w:t>
      </w:r>
    </w:p>
    <w:bookmarkStart w:id="121" w:name="threshold-requirements-22"/>
    <w:p>
      <w:pPr>
        <w:pStyle w:val="berschrift5"/>
      </w:pPr>
      <w:r>
        <w:t xml:space="preserve">Threshold requirements:</w:t>
      </w:r>
    </w:p>
    <w:p>
      <w:pPr>
        <w:pStyle w:val="FirstParagraph"/>
      </w:pPr>
      <w:r>
        <w:t xml:space="preserve">Not required.</w:t>
      </w:r>
      <w:r>
        <w:t xml:space="preserve"> </w:t>
      </w:r>
    </w:p>
    <w:bookmarkEnd w:id="121"/>
    <w:bookmarkStart w:id="122" w:name="goal-requirements-22"/>
    <w:p>
      <w:pPr>
        <w:pStyle w:val="berschrift5"/>
      </w:pPr>
      <w:r>
        <w:t xml:space="preserve">Goal requirements:</w:t>
      </w:r>
    </w:p>
    <w:p>
      <w:pPr>
        <w:pStyle w:val="FirstParagraph"/>
      </w:pPr>
      <w:r>
        <w:t xml:space="preserve">Metadata indicates whether a pixel is assessed as being cloud shadow.</w:t>
      </w:r>
      <w:r>
        <w:t xml:space="preserve"> </w:t>
      </w:r>
      <w:r>
        <w:t xml:space="preserve">Information on cloud shadow detection should be available in the metadata as a single DOI landing page.</w:t>
      </w:r>
    </w:p>
    <w:bookmarkEnd w:id="122"/>
    <w:bookmarkStart w:id="123"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3"/>
    <w:bookmarkEnd w:id="124"/>
    <w:bookmarkStart w:id="128" w:name="sec:pxl-pplwnl"/>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pxl-pplwnl</w:t>
      </w:r>
    </w:p>
    <w:bookmarkStart w:id="125" w:name="threshold-requirements-23"/>
    <w:p>
      <w:pPr>
        <w:pStyle w:val="berschrift5"/>
      </w:pPr>
      <w:r>
        <w:t xml:space="preserve">Threshold requirements:</w:t>
      </w:r>
    </w:p>
    <w:p>
      <w:pPr>
        <w:pStyle w:val="FirstParagraph"/>
      </w:pPr>
      <w:r>
        <w:t xml:space="preserve">Metadata indicates whether a pixel is land or water.</w:t>
      </w:r>
    </w:p>
    <w:bookmarkEnd w:id="125"/>
    <w:bookmarkStart w:id="126" w:name="goal-requirements-23"/>
    <w:p>
      <w:pPr>
        <w:pStyle w:val="berschrift5"/>
      </w:pPr>
      <w:r>
        <w:t xml:space="preserve">Goal requirements:</w:t>
      </w:r>
    </w:p>
    <w:p>
      <w:pPr>
        <w:pStyle w:val="FirstParagraph"/>
      </w:pPr>
      <w:r>
        <w:t xml:space="preserve">As threshold, information on land/water mask should be available in the metadata as a single DOI landing page.</w:t>
      </w:r>
    </w:p>
    <w:bookmarkEnd w:id="126"/>
    <w:bookmarkStart w:id="127"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7"/>
    <w:bookmarkEnd w:id="128"/>
    <w:bookmarkStart w:id="132" w:name="sec:pxl-ppsinl"/>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pxl-ppsinl</w:t>
      </w:r>
    </w:p>
    <w:bookmarkStart w:id="129" w:name="threshold-requirements-24"/>
    <w:p>
      <w:pPr>
        <w:pStyle w:val="berschrift5"/>
      </w:pPr>
      <w:r>
        <w:t xml:space="preserve">Threshold requirements:</w:t>
      </w:r>
    </w:p>
    <w:p>
      <w:pPr>
        <w:pStyle w:val="FirstParagraph"/>
      </w:pPr>
      <w:r>
        <w:t xml:space="preserve">Metadata indicates whether a pixel is snow/ice.</w:t>
      </w:r>
    </w:p>
    <w:bookmarkEnd w:id="129"/>
    <w:bookmarkStart w:id="130" w:name="goal-requirements-24"/>
    <w:p>
      <w:pPr>
        <w:pStyle w:val="berschrift5"/>
      </w:pPr>
      <w:r>
        <w:t xml:space="preserve">Goal requirements:</w:t>
      </w:r>
    </w:p>
    <w:p>
      <w:pPr>
        <w:pStyle w:val="FirstParagraph"/>
      </w:pPr>
      <w:r>
        <w:t xml:space="preserve">As threshold, information on snow/ice mask should be available in the metadata as a single DOI landing page.</w:t>
      </w:r>
    </w:p>
    <w:bookmarkEnd w:id="130"/>
    <w:bookmarkStart w:id="131"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1"/>
    <w:bookmarkEnd w:id="132"/>
    <w:bookmarkStart w:id="136" w:name="sec:pxl-pptshr"/>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pxl-pptshr</w:t>
      </w:r>
    </w:p>
    <w:bookmarkStart w:id="133" w:name="threshold-requirements-25"/>
    <w:p>
      <w:pPr>
        <w:pStyle w:val="berschrift5"/>
      </w:pPr>
      <w:r>
        <w:t xml:space="preserve">Threshold requirements:</w:t>
      </w:r>
    </w:p>
    <w:p>
      <w:pPr>
        <w:pStyle w:val="FirstParagraph"/>
      </w:pPr>
      <w:r>
        <w:t xml:space="preserve">Not required.</w:t>
      </w:r>
      <w:r>
        <w:t xml:space="preserve"> </w:t>
      </w:r>
    </w:p>
    <w:bookmarkEnd w:id="133"/>
    <w:bookmarkStart w:id="134"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4"/>
    <w:bookmarkStart w:id="135"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5"/>
    <w:bookmarkEnd w:id="136"/>
    <w:bookmarkStart w:id="140" w:name="sec:pxl-ppt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pxl-pptocc</w:t>
      </w:r>
    </w:p>
    <w:bookmarkStart w:id="137" w:name="threshold-requirements-26"/>
    <w:p>
      <w:pPr>
        <w:pStyle w:val="berschrift5"/>
      </w:pPr>
      <w:r>
        <w:t xml:space="preserve">Threshold requirements:</w:t>
      </w:r>
    </w:p>
    <w:p>
      <w:pPr>
        <w:pStyle w:val="FirstParagraph"/>
      </w:pPr>
      <w:r>
        <w:t xml:space="preserve">Not required.</w:t>
      </w:r>
      <w:r>
        <w:t xml:space="preserve"> </w:t>
      </w:r>
    </w:p>
    <w:bookmarkEnd w:id="137"/>
    <w:bookmarkStart w:id="138"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8"/>
    <w:bookmarkStart w:id="139"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9"/>
    <w:bookmarkEnd w:id="140"/>
    <w:bookmarkStart w:id="144" w:name="sec:pxl-ppvalu"/>
    <w:p>
      <w:pPr>
        <w:pStyle w:val="berschrift4"/>
      </w:pPr>
      <w:r>
        <w:rPr>
          <w:rStyle w:val="VerbatimChar"/>
        </w:rPr>
        <w:t xml:space="preserve">2.11.</w:t>
      </w:r>
      <w:r>
        <w:t xml:space="preserve"> </w:t>
      </w:r>
      <w:r>
        <w:t xml:space="preserve">Lunar and Viewing Geometry</w:t>
      </w:r>
    </w:p>
    <w:p>
      <w:pPr>
        <w:pStyle w:val="FirstParagraph"/>
      </w:pPr>
      <w:r>
        <w:t xml:space="preserve">Identifier:</w:t>
      </w:r>
      <w:r>
        <w:t xml:space="preserve"> </w:t>
      </w:r>
      <w:r>
        <w:rPr>
          <w:rStyle w:val="VerbatimChar"/>
        </w:rPr>
        <w:t xml:space="preserve">pxl-ppvalu</w:t>
      </w:r>
    </w:p>
    <w:bookmarkStart w:id="141" w:name="threshold-requirements-27"/>
    <w:p>
      <w:pPr>
        <w:pStyle w:val="berschrift5"/>
      </w:pPr>
      <w:r>
        <w:t xml:space="preserve">Threshold requirements:</w:t>
      </w:r>
    </w:p>
    <w:p>
      <w:pPr>
        <w:pStyle w:val="FirstParagraph"/>
      </w:pPr>
      <w:r>
        <w:t xml:space="preserve">Provide average lunar and sensor viewing azimuth and zenith angles.</w:t>
      </w:r>
    </w:p>
    <w:bookmarkEnd w:id="141"/>
    <w:bookmarkStart w:id="142" w:name="goal-requirements-27"/>
    <w:p>
      <w:pPr>
        <w:pStyle w:val="berschrift5"/>
      </w:pPr>
      <w:r>
        <w:t xml:space="preserve">Goal requirements:</w:t>
      </w:r>
    </w:p>
    <w:p>
      <w:pPr>
        <w:pStyle w:val="FirstParagraph"/>
      </w:pPr>
      <w:r>
        <w:t xml:space="preserve">Provide per-pixel lunar and sensor viewing azimuth and zenith angles.</w:t>
      </w:r>
    </w:p>
    <w:bookmarkEnd w:id="142"/>
    <w:bookmarkStart w:id="143"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3"/>
    <w:bookmarkEnd w:id="144"/>
    <w:bookmarkStart w:id="148" w:name="sec:pxl-pptill"/>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pxl-pptill</w:t>
      </w:r>
    </w:p>
    <w:bookmarkStart w:id="145" w:name="threshold-requirements-28"/>
    <w:p>
      <w:pPr>
        <w:pStyle w:val="berschrift5"/>
      </w:pPr>
      <w:r>
        <w:t xml:space="preserve">Threshold requirements:</w:t>
      </w:r>
    </w:p>
    <w:p>
      <w:pPr>
        <w:pStyle w:val="FirstParagraph"/>
      </w:pPr>
      <w:r>
        <w:t xml:space="preserve">Not required.</w:t>
      </w:r>
      <w:r>
        <w:t xml:space="preserve"> </w:t>
      </w:r>
    </w:p>
    <w:bookmarkEnd w:id="145"/>
    <w:bookmarkStart w:id="146"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6"/>
    <w:bookmarkStart w:id="147"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7"/>
    <w:bookmarkEnd w:id="148"/>
    <w:bookmarkStart w:id="152" w:name="sec:pxl-ppmoon"/>
    <w:p>
      <w:pPr>
        <w:pStyle w:val="berschrift4"/>
      </w:pPr>
      <w:r>
        <w:rPr>
          <w:rStyle w:val="VerbatimChar"/>
        </w:rPr>
        <w:t xml:space="preserve">2.13.</w:t>
      </w:r>
      <w:r>
        <w:t xml:space="preserve"> </w:t>
      </w:r>
      <w:r>
        <w:t xml:space="preserve">Moon Illumination Fraction</w:t>
      </w:r>
    </w:p>
    <w:p>
      <w:pPr>
        <w:pStyle w:val="FirstParagraph"/>
      </w:pPr>
      <w:r>
        <w:t xml:space="preserve">Identifier:</w:t>
      </w:r>
      <w:r>
        <w:t xml:space="preserve"> </w:t>
      </w:r>
      <w:r>
        <w:rPr>
          <w:rStyle w:val="VerbatimChar"/>
        </w:rPr>
        <w:t xml:space="preserve">pxl-ppmoon</w:t>
      </w:r>
    </w:p>
    <w:bookmarkStart w:id="149" w:name="threshold-requirements-29"/>
    <w:p>
      <w:pPr>
        <w:pStyle w:val="berschrift5"/>
      </w:pPr>
      <w:r>
        <w:t xml:space="preserve">Threshold requirements:</w:t>
      </w:r>
    </w:p>
    <w:p>
      <w:pPr>
        <w:pStyle w:val="FirstParagraph"/>
      </w:pPr>
      <w:r>
        <w:t xml:space="preserve">Provide average moon illumination fraction.</w:t>
      </w:r>
    </w:p>
    <w:bookmarkEnd w:id="149"/>
    <w:bookmarkStart w:id="150" w:name="goal-requirements-29"/>
    <w:p>
      <w:pPr>
        <w:pStyle w:val="berschrift5"/>
      </w:pPr>
      <w:r>
        <w:t xml:space="preserve">Goal requirements:</w:t>
      </w:r>
    </w:p>
    <w:p>
      <w:pPr>
        <w:pStyle w:val="FirstParagraph"/>
      </w:pPr>
      <w:r>
        <w:t xml:space="preserve">Provide per-pixel moon illumination fraction</w:t>
      </w:r>
    </w:p>
    <w:bookmarkEnd w:id="150"/>
    <w:bookmarkStart w:id="151" w:name="assessment-29"/>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1"/>
    <w:bookmarkEnd w:id="152"/>
    <w:bookmarkStart w:id="156" w:name="sec:pxl-ppbrtt"/>
    <w:p>
      <w:pPr>
        <w:pStyle w:val="berschrift4"/>
      </w:pPr>
      <w:r>
        <w:rPr>
          <w:rStyle w:val="VerbatimChar"/>
        </w:rPr>
        <w:t xml:space="preserve">2.14.</w:t>
      </w:r>
      <w:r>
        <w:t xml:space="preserve"> </w:t>
      </w:r>
      <w:r>
        <w:t xml:space="preserve">Brightness Temperature</w:t>
      </w:r>
    </w:p>
    <w:p>
      <w:pPr>
        <w:pStyle w:val="FirstParagraph"/>
      </w:pPr>
      <w:r>
        <w:t xml:space="preserve">Identifier:</w:t>
      </w:r>
      <w:r>
        <w:t xml:space="preserve"> </w:t>
      </w:r>
      <w:r>
        <w:rPr>
          <w:rStyle w:val="VerbatimChar"/>
        </w:rPr>
        <w:t xml:space="preserve">pxl-ppbrtt</w:t>
      </w:r>
    </w:p>
    <w:bookmarkStart w:id="153" w:name="threshold-requirements-30"/>
    <w:p>
      <w:pPr>
        <w:pStyle w:val="berschrift5"/>
      </w:pPr>
      <w:r>
        <w:t xml:space="preserve">Threshold requirements:</w:t>
      </w:r>
    </w:p>
    <w:p>
      <w:pPr>
        <w:pStyle w:val="FirstParagraph"/>
      </w:pPr>
      <w:r>
        <w:t xml:space="preserve">Provide brightness temperature from thermal bands.</w:t>
      </w:r>
    </w:p>
    <w:bookmarkEnd w:id="153"/>
    <w:bookmarkStart w:id="154" w:name="goal-requirements-30"/>
    <w:p>
      <w:pPr>
        <w:pStyle w:val="berschrift5"/>
      </w:pPr>
      <w:r>
        <w:t xml:space="preserve">Goal requirements:</w:t>
      </w:r>
    </w:p>
    <w:p>
      <w:pPr>
        <w:pStyle w:val="FirstParagraph"/>
      </w:pPr>
      <w:r>
        <w:t xml:space="preserve">As threshold.</w:t>
      </w:r>
      <w:r>
        <w:t xml:space="preserve"> </w:t>
      </w:r>
    </w:p>
    <w:bookmarkEnd w:id="154"/>
    <w:bookmarkStart w:id="155" w:name="assessment-30"/>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5"/>
    <w:bookmarkEnd w:id="156"/>
    <w:bookmarkStart w:id="160" w:name="sec:pxl-ppsza"/>
    <w:p>
      <w:pPr>
        <w:pStyle w:val="berschrift4"/>
      </w:pPr>
      <w:r>
        <w:rPr>
          <w:rStyle w:val="VerbatimChar"/>
        </w:rPr>
        <w:t xml:space="preserve">2.15.</w:t>
      </w:r>
      <w:r>
        <w:t xml:space="preserve"> </w:t>
      </w:r>
      <w:r>
        <w:t xml:space="preserve">Solar Zenith Angle</w:t>
      </w:r>
    </w:p>
    <w:p>
      <w:pPr>
        <w:pStyle w:val="FirstParagraph"/>
      </w:pPr>
      <w:r>
        <w:t xml:space="preserve">Identifier:</w:t>
      </w:r>
      <w:r>
        <w:t xml:space="preserve"> </w:t>
      </w:r>
      <w:r>
        <w:rPr>
          <w:rStyle w:val="VerbatimChar"/>
        </w:rPr>
        <w:t xml:space="preserve">pxl-ppsza</w:t>
      </w:r>
    </w:p>
    <w:bookmarkStart w:id="157" w:name="threshold-requirements-31"/>
    <w:p>
      <w:pPr>
        <w:pStyle w:val="berschrift5"/>
      </w:pPr>
      <w:r>
        <w:t xml:space="preserve">Threshold requirements:</w:t>
      </w:r>
    </w:p>
    <w:p>
      <w:pPr>
        <w:pStyle w:val="FirstParagraph"/>
      </w:pPr>
      <w:r>
        <w:t xml:space="preserve">Provide solar zenith angle to support stray-light corrections (see also Section </w:t>
      </w:r>
      <w:r>
        <w:t xml:space="preserve">“</w:t>
      </w:r>
      <w:hyperlink w:anchor="sec:rac-strlit">
        <w:r>
          <w:rPr>
            <w:rStyle w:val="Hyperlink"/>
          </w:rPr>
          <w:t xml:space="preserve">Radiometric and Atmospheric Corrections: Stray Light Corrections</w:t>
        </w:r>
      </w:hyperlink>
      <w:r>
        <w:t xml:space="preserve">”</w:t>
      </w:r>
      <w:r>
        <w:t xml:space="preserve">).</w:t>
      </w:r>
    </w:p>
    <w:bookmarkEnd w:id="157"/>
    <w:bookmarkStart w:id="158" w:name="goal-requirements-31"/>
    <w:p>
      <w:pPr>
        <w:pStyle w:val="berschrift5"/>
      </w:pPr>
      <w:r>
        <w:t xml:space="preserve">Goal requirements:</w:t>
      </w:r>
    </w:p>
    <w:p>
      <w:pPr>
        <w:pStyle w:val="FirstParagraph"/>
      </w:pPr>
      <w:r>
        <w:t xml:space="preserve">As threshold.</w:t>
      </w:r>
      <w:r>
        <w:t xml:space="preserve"> </w:t>
      </w:r>
    </w:p>
    <w:bookmarkEnd w:id="158"/>
    <w:bookmarkStart w:id="159" w:name="assessment-31"/>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59"/>
    <w:bookmarkEnd w:id="160"/>
    <w:bookmarkEnd w:id="161"/>
    <w:bookmarkStart w:id="186"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65" w:name="sec:rac-msnl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rac-msnlsr</w:t>
      </w:r>
    </w:p>
    <w:bookmarkStart w:id="162" w:name="threshold-requirements-32"/>
    <w:p>
      <w:pPr>
        <w:pStyle w:val="berschrift5"/>
      </w:pPr>
      <w:r>
        <w:t xml:space="preserve">Threshold requirements:</w:t>
      </w:r>
    </w:p>
    <w:p>
      <w:pPr>
        <w:pStyle w:val="FirstParagraph"/>
      </w:pPr>
      <w:r>
        <w:t xml:space="preserve">Pixel values that are expressed as a measurement of the nighttime light radiance.</w:t>
      </w:r>
    </w:p>
    <w:p>
      <w:pPr>
        <w:pStyle w:val="Textkrper"/>
      </w:pPr>
      <w:r>
        <w:t xml:space="preserve">Notes:</w:t>
      </w:r>
    </w:p>
    <w:p>
      <w:pPr>
        <w:pStyle w:val="Compact"/>
        <w:numPr>
          <w:ilvl w:val="0"/>
          <w:numId w:val="1046"/>
        </w:numPr>
      </w:pPr>
      <w:r>
        <w:t xml:space="preserve">Radiometric corrections must lead to a valid measurement of surface reflectance.</w:t>
      </w:r>
    </w:p>
    <w:bookmarkEnd w:id="162"/>
    <w:bookmarkStart w:id="163" w:name="goal-requirements-32"/>
    <w:p>
      <w:pPr>
        <w:pStyle w:val="berschrift5"/>
      </w:pPr>
      <w:r>
        <w:t xml:space="preserve">Goal requirements:</w:t>
      </w:r>
    </w:p>
    <w:p>
      <w:pPr>
        <w:pStyle w:val="FirstParagraph"/>
      </w:pPr>
      <w:r>
        <w:t xml:space="preserve">Nighttime light radiance measurements are SI traceable (see also Section </w:t>
      </w:r>
      <w:r>
        <w:t xml:space="preserve">“</w:t>
      </w:r>
      <w:hyperlink w:anchor="sec:meta-trcsr">
        <w:r>
          <w:rPr>
            <w:rStyle w:val="Hyperlink"/>
          </w:rPr>
          <w:t xml:space="preserve">General Metadata: Traceability</w:t>
        </w:r>
      </w:hyperlink>
      <w:r>
        <w:t xml:space="preserve">”</w:t>
      </w:r>
      <w:r>
        <w:t xml:space="preserve">).</w:t>
      </w:r>
    </w:p>
    <w:bookmarkEnd w:id="163"/>
    <w:bookmarkStart w:id="164" w:name="assessment-32"/>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4"/>
    <w:bookmarkEnd w:id="165"/>
    <w:bookmarkStart w:id="169" w:name="sec:rac-unc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rac-uncsr</w:t>
      </w:r>
    </w:p>
    <w:p>
      <w:pPr>
        <w:pStyle w:val="Textkrper"/>
      </w:pPr>
      <w:r>
        <w:t xml:space="preserve">Note: In current practice, users determine fitness for purpose based on knowledge of the lineage of the data, rather than on a specific estimate of measurement uncertainty.</w:t>
      </w:r>
    </w:p>
    <w:bookmarkStart w:id="166" w:name="threshold-requirements-33"/>
    <w:p>
      <w:pPr>
        <w:pStyle w:val="berschrift5"/>
      </w:pPr>
      <w:r>
        <w:t xml:space="preserve">Threshold requirements:</w:t>
      </w:r>
    </w:p>
    <w:p>
      <w:pPr>
        <w:pStyle w:val="FirstParagraph"/>
      </w:pPr>
      <w:r>
        <w:t xml:space="preserve">Not required.</w:t>
      </w:r>
      <w:r>
        <w:t xml:space="preserve"> </w:t>
      </w:r>
    </w:p>
    <w:bookmarkEnd w:id="166"/>
    <w:bookmarkStart w:id="167" w:name="goal-requirements-33"/>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8"/>
        </w:numPr>
      </w:pPr>
      <w:r>
        <w:t xml:space="preserve">This is a requirement for SI traceability. See also Section </w:t>
      </w:r>
      <w:r>
        <w:t xml:space="preserve">“</w:t>
      </w:r>
      <w:hyperlink w:anchor="sec:meta-trcsr">
        <w:r>
          <w:rPr>
            <w:rStyle w:val="Hyperlink"/>
          </w:rPr>
          <w:t xml:space="preserve">General Metadata: Traceability</w:t>
        </w:r>
      </w:hyperlink>
      <w:r>
        <w:t xml:space="preserve">”</w:t>
      </w:r>
      <w:r>
        <w:t xml:space="preserve">.</w:t>
      </w:r>
    </w:p>
    <w:p>
      <w:pPr>
        <w:pStyle w:val="Compact"/>
        <w:numPr>
          <w:ilvl w:val="0"/>
          <w:numId w:val="1048"/>
        </w:numPr>
      </w:pPr>
      <w:r>
        <w:t xml:space="preserve">Information on measurement uncertainty should be available in the metadata as a single DOI landing page.</w:t>
      </w:r>
    </w:p>
    <w:bookmarkEnd w:id="167"/>
    <w:bookmarkStart w:id="168" w:name="assessment-33"/>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8"/>
    <w:bookmarkEnd w:id="169"/>
    <w:bookmarkStart w:id="173" w:name="sec:rac-nrmnls"/>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rac-nrmnls</w:t>
      </w:r>
    </w:p>
    <w:bookmarkStart w:id="170" w:name="threshold-requirements-34"/>
    <w:p>
      <w:pPr>
        <w:pStyle w:val="berschrift5"/>
      </w:pPr>
      <w:r>
        <w:t xml:space="preserve">Threshold requirements:</w:t>
      </w:r>
    </w:p>
    <w:p>
      <w:pPr>
        <w:pStyle w:val="FirstParagraph"/>
      </w:pPr>
      <w:r>
        <w:t xml:space="preserve">Not required.</w:t>
      </w:r>
      <w:r>
        <w:t xml:space="preserve"> </w:t>
      </w:r>
    </w:p>
    <w:bookmarkEnd w:id="170"/>
    <w:bookmarkStart w:id="171" w:name="goal-requirements-34"/>
    <w:p>
      <w:pPr>
        <w:pStyle w:val="berschrift5"/>
      </w:pPr>
      <w:r>
        <w:t xml:space="preserve">Goal requirements:</w:t>
      </w:r>
    </w:p>
    <w:p>
      <w:pPr>
        <w:pStyle w:val="FirstParagraph"/>
      </w:pPr>
      <w:r>
        <w:t xml:space="preserve">Measurements are normalised for viewing conditions (i.e., nadir view angle).</w:t>
      </w:r>
      <w:r>
        <w:t xml:space="preserve"> </w:t>
      </w:r>
      <w:r>
        <w:t xml:space="preserve">This may include radiative transfer modelling.</w:t>
      </w:r>
    </w:p>
    <w:p>
      <w:pPr>
        <w:pStyle w:val="Textkrper"/>
      </w:pPr>
      <w:r>
        <w:t xml:space="preserve">Notes:</w:t>
      </w:r>
    </w:p>
    <w:p>
      <w:pPr>
        <w:pStyle w:val="Compact"/>
        <w:numPr>
          <w:ilvl w:val="0"/>
          <w:numId w:val="1050"/>
        </w:numPr>
      </w:pPr>
      <w:r>
        <w:t xml:space="preserve">Information on measurement normalisation should be available in the metadata as a single DOI landing page.</w:t>
      </w:r>
    </w:p>
    <w:bookmarkEnd w:id="171"/>
    <w:bookmarkStart w:id="172" w:name="assessment-34"/>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72"/>
    <w:bookmarkEnd w:id="173"/>
    <w:bookmarkStart w:id="177" w:name="sec:rac-atmcor"/>
    <w:p>
      <w:pPr>
        <w:pStyle w:val="berschrift4"/>
      </w:pPr>
      <w:r>
        <w:rPr>
          <w:rStyle w:val="VerbatimChar"/>
        </w:rPr>
        <w:t xml:space="preserve">3.4.</w:t>
      </w:r>
      <w:r>
        <w:t xml:space="preserve"> </w:t>
      </w:r>
      <w:r>
        <w:t xml:space="preserve">Atmospheric Corrections</w:t>
      </w:r>
    </w:p>
    <w:p>
      <w:pPr>
        <w:pStyle w:val="FirstParagraph"/>
      </w:pPr>
      <w:r>
        <w:t xml:space="preserve">Identifier:</w:t>
      </w:r>
      <w:r>
        <w:t xml:space="preserve"> </w:t>
      </w:r>
      <w:r>
        <w:rPr>
          <w:rStyle w:val="VerbatimChar"/>
        </w:rPr>
        <w:t xml:space="preserve">rac-atmcor</w:t>
      </w:r>
    </w:p>
    <w:bookmarkStart w:id="174" w:name="threshold-requirements-35"/>
    <w:p>
      <w:pPr>
        <w:pStyle w:val="berschrift5"/>
      </w:pPr>
      <w:r>
        <w:t xml:space="preserve">Threshold requirements:</w:t>
      </w:r>
    </w:p>
    <w:p>
      <w:pPr>
        <w:pStyle w:val="FirstParagraph"/>
      </w:pPr>
      <w:r>
        <w:t xml:space="preserve">Corrections are applied for atmospheric scattering.</w:t>
      </w:r>
    </w:p>
    <w:p>
      <w:pPr>
        <w:pStyle w:val="Textkrper"/>
      </w:pPr>
      <w:r>
        <w:t xml:space="preserve">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Compact"/>
        <w:numPr>
          <w:ilvl w:val="0"/>
          <w:numId w:val="1052"/>
        </w:numPr>
      </w:pPr>
      <w:r>
        <w:t xml:space="preserve">the sources of ancillary data used to make corrections</w:t>
      </w:r>
    </w:p>
    <w:p>
      <w:pPr>
        <w:pStyle w:val="FirstParagraph"/>
      </w:pPr>
      <w:r>
        <w:t xml:space="preserve">Notes:</w:t>
      </w:r>
    </w:p>
    <w:p>
      <w:pPr>
        <w:pStyle w:val="Compact"/>
        <w:numPr>
          <w:ilvl w:val="0"/>
          <w:numId w:val="1053"/>
        </w:numPr>
      </w:pPr>
      <w:r>
        <w:t xml:space="preserve">Examples of technical documentation include an Algorithm Theoretical Basis Document, product user guide, etc.</w:t>
      </w:r>
    </w:p>
    <w:bookmarkEnd w:id="174"/>
    <w:bookmarkStart w:id="175" w:name="goal-requirements-35"/>
    <w:p>
      <w:pPr>
        <w:pStyle w:val="berschrift5"/>
      </w:pPr>
      <w:r>
        <w:t xml:space="preserve">Goal requirements:</w:t>
      </w:r>
    </w:p>
    <w:p>
      <w:pPr>
        <w:pStyle w:val="FirstParagraph"/>
      </w:pPr>
      <w:r>
        <w:t xml:space="preserve">As threshold.</w:t>
      </w:r>
      <w:r>
        <w:t xml:space="preserve"> </w:t>
      </w:r>
    </w:p>
    <w:bookmarkEnd w:id="175"/>
    <w:bookmarkStart w:id="176" w:name="assessment-35"/>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6"/>
    <w:bookmarkEnd w:id="177"/>
    <w:bookmarkStart w:id="181" w:name="sec:rac-lunrad"/>
    <w:p>
      <w:pPr>
        <w:pStyle w:val="berschrift4"/>
      </w:pPr>
      <w:r>
        <w:rPr>
          <w:rStyle w:val="VerbatimChar"/>
        </w:rPr>
        <w:t xml:space="preserve">3.5.</w:t>
      </w:r>
      <w:r>
        <w:t xml:space="preserve"> </w:t>
      </w:r>
      <w:r>
        <w:t xml:space="preserve">Lunar Radiance Corrections</w:t>
      </w:r>
    </w:p>
    <w:p>
      <w:pPr>
        <w:pStyle w:val="FirstParagraph"/>
      </w:pPr>
      <w:r>
        <w:t xml:space="preserve">Identifier:</w:t>
      </w:r>
      <w:r>
        <w:t xml:space="preserve"> </w:t>
      </w:r>
      <w:r>
        <w:rPr>
          <w:rStyle w:val="VerbatimChar"/>
        </w:rPr>
        <w:t xml:space="preserve">rac-lunrad</w:t>
      </w:r>
    </w:p>
    <w:bookmarkStart w:id="178" w:name="threshold-requirements-36"/>
    <w:p>
      <w:pPr>
        <w:pStyle w:val="berschrift5"/>
      </w:pPr>
      <w:r>
        <w:t xml:space="preserve">Threshold requirements:</w:t>
      </w:r>
    </w:p>
    <w:p>
      <w:pPr>
        <w:pStyle w:val="FirstParagraph"/>
      </w:pPr>
      <w:r>
        <w:t xml:space="preserve">Corrections are applied for lunar radiance.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 and the lunar model used.</w:t>
      </w:r>
    </w:p>
    <w:p>
      <w:pPr>
        <w:pStyle w:val="FirstParagraph"/>
      </w:pPr>
      <w:r>
        <w:t xml:space="preserve">Notes:</w:t>
      </w:r>
    </w:p>
    <w:p>
      <w:pPr>
        <w:pStyle w:val="Compact"/>
        <w:numPr>
          <w:ilvl w:val="0"/>
          <w:numId w:val="1056"/>
        </w:numPr>
      </w:pPr>
      <w:r>
        <w:t xml:space="preserve">Examples of technical documentation include an Algorithm Theoretical Basis Document, product user guide, etc.</w:t>
      </w:r>
    </w:p>
    <w:bookmarkEnd w:id="178"/>
    <w:bookmarkStart w:id="179" w:name="goal-requirements-36"/>
    <w:p>
      <w:pPr>
        <w:pStyle w:val="berschrift5"/>
      </w:pPr>
      <w:r>
        <w:t xml:space="preserve">Goal requirements:</w:t>
      </w:r>
    </w:p>
    <w:p>
      <w:pPr>
        <w:pStyle w:val="FirstParagraph"/>
      </w:pPr>
      <w:r>
        <w:t xml:space="preserve">As threshold.</w:t>
      </w:r>
      <w:r>
        <w:t xml:space="preserve"> </w:t>
      </w:r>
    </w:p>
    <w:bookmarkEnd w:id="179"/>
    <w:bookmarkStart w:id="180" w:name="assessment-36"/>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80"/>
    <w:bookmarkEnd w:id="181"/>
    <w:bookmarkStart w:id="185" w:name="sec:rac-strlit"/>
    <w:p>
      <w:pPr>
        <w:pStyle w:val="berschrift4"/>
      </w:pPr>
      <w:r>
        <w:rPr>
          <w:rStyle w:val="VerbatimChar"/>
        </w:rPr>
        <w:t xml:space="preserve">3.6.</w:t>
      </w:r>
      <w:r>
        <w:t xml:space="preserve"> </w:t>
      </w:r>
      <w:r>
        <w:t xml:space="preserve">Stray Light Corrections</w:t>
      </w:r>
    </w:p>
    <w:p>
      <w:pPr>
        <w:pStyle w:val="FirstParagraph"/>
      </w:pPr>
      <w:r>
        <w:t xml:space="preserve">Identifier:</w:t>
      </w:r>
      <w:r>
        <w:t xml:space="preserve"> </w:t>
      </w:r>
      <w:r>
        <w:rPr>
          <w:rStyle w:val="VerbatimChar"/>
        </w:rPr>
        <w:t xml:space="preserve">rac-strlit</w:t>
      </w:r>
    </w:p>
    <w:bookmarkStart w:id="182" w:name="threshold-requirements-37"/>
    <w:p>
      <w:pPr>
        <w:pStyle w:val="berschrift5"/>
      </w:pPr>
      <w:r>
        <w:t xml:space="preserve">Threshold requirements:</w:t>
      </w:r>
    </w:p>
    <w:p>
      <w:pPr>
        <w:pStyle w:val="FirstParagraph"/>
      </w:pPr>
      <w:r>
        <w:t xml:space="preserve">Corrections are applied for stray light.</w:t>
      </w:r>
    </w:p>
    <w:p>
      <w:pPr>
        <w:pStyle w:val="Textkrper"/>
      </w:pPr>
      <w:r>
        <w:t xml:space="preserve">Metadata contains a single DOI landing page with references to:</w:t>
      </w:r>
    </w:p>
    <w:p>
      <w:pPr>
        <w:pStyle w:val="Compact"/>
        <w:numPr>
          <w:ilvl w:val="0"/>
          <w:numId w:val="1058"/>
        </w:numPr>
      </w:pPr>
      <w:r>
        <w:t xml:space="preserve">a citable peer-reviewed algorithm</w:t>
      </w:r>
    </w:p>
    <w:p>
      <w:pPr>
        <w:pStyle w:val="Compact"/>
        <w:numPr>
          <w:ilvl w:val="0"/>
          <w:numId w:val="1058"/>
        </w:numPr>
      </w:pPr>
      <w:r>
        <w:t xml:space="preserve">technical documentation regarding the implementation of that algorithm and any models used.</w:t>
      </w:r>
    </w:p>
    <w:p>
      <w:pPr>
        <w:pStyle w:val="FirstParagraph"/>
      </w:pPr>
      <w:r>
        <w:t xml:space="preserve">Notes:</w:t>
      </w:r>
    </w:p>
    <w:p>
      <w:pPr>
        <w:pStyle w:val="Compact"/>
        <w:numPr>
          <w:ilvl w:val="0"/>
          <w:numId w:val="1059"/>
        </w:numPr>
      </w:pPr>
      <w:r>
        <w:t xml:space="preserve">Examples of technical documentation include an Algorithm Theoretical Basis Document, product user guide, etc.</w:t>
      </w:r>
    </w:p>
    <w:bookmarkEnd w:id="182"/>
    <w:bookmarkStart w:id="183" w:name="goal-requirements-37"/>
    <w:p>
      <w:pPr>
        <w:pStyle w:val="berschrift5"/>
      </w:pPr>
      <w:r>
        <w:t xml:space="preserve">Goal requirements:</w:t>
      </w:r>
    </w:p>
    <w:p>
      <w:pPr>
        <w:pStyle w:val="FirstParagraph"/>
      </w:pPr>
      <w:r>
        <w:t xml:space="preserve">As threshold.</w:t>
      </w:r>
      <w:r>
        <w:t xml:space="preserve"> </w:t>
      </w:r>
    </w:p>
    <w:bookmarkEnd w:id="183"/>
    <w:bookmarkStart w:id="184" w:name="assessment-37"/>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bookmarkEnd w:id="184"/>
    <w:bookmarkEnd w:id="185"/>
    <w:bookmarkEnd w:id="186"/>
    <w:bookmarkStart w:id="191"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90" w:name="sec:gcor-geoc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gcor-geocsr</w:t>
      </w:r>
    </w:p>
    <w:bookmarkStart w:id="187" w:name="threshold-requirements-3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61"/>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87"/>
    <w:bookmarkStart w:id="188" w:name="goal-requirements-3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62"/>
        </w:numPr>
      </w:pPr>
      <w:r>
        <w:t xml:space="preserve">This requirement is intended to enable interoperability between imagery from different platforms that meet this level of correction, and with non-image spatial data such as GIS layers and terrain models.</w:t>
      </w:r>
    </w:p>
    <w:bookmarkEnd w:id="188"/>
    <w:bookmarkStart w:id="189" w:name="assessment-3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br w:type="page"/>
      </w:r>
    </w:p>
    <w:bookmarkEnd w:id="189"/>
    <w:bookmarkEnd w:id="190"/>
    <w:bookmarkEnd w:id="191"/>
    <w:bookmarkEnd w:id="192"/>
    <w:bookmarkStart w:id="197" w:name="summary-self-assessment-table"/>
    <w:p>
      <w:pPr>
        <w:pStyle w:val="berschrift2"/>
      </w:pPr>
      <w:r>
        <w:t xml:space="preserve">Summary Self-Assessment Table</w:t>
      </w:r>
    </w:p>
    <w:bookmarkStart w:id="193"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meta-geoasr</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meta-mpnlsr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meta-gmcmsr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meta-pcpnls</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93"/>
    <w:bookmarkStart w:id="194"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pxl-ppcsnl</w:t>
            </w:r>
          </w:p>
        </w:tc>
        <w:tc>
          <w:tcPr/>
          <w:p>
            <w:pPr>
              <w:pStyle w:val="Compact"/>
            </w:pPr>
            <w:r>
              <w:t xml:space="preserve">Cloud Shadow</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pxl-pplwnl</w:t>
            </w:r>
          </w:p>
        </w:tc>
        <w:tc>
          <w:tcPr/>
          <w:p>
            <w:pPr>
              <w:pStyle w:val="Compact"/>
            </w:pPr>
            <w:r>
              <w:t xml:space="preserve">Land/Water Mask</w:t>
            </w:r>
          </w:p>
        </w:tc>
        <w:tc>
          <w:tcPr/>
          <w:p>
            <w:pPr>
              <w:pStyle w:val="Compact"/>
            </w:pPr>
          </w:p>
        </w:tc>
        <w:tc>
          <w:tcPr/>
          <w:p>
            <w:pPr>
              <w:pStyle w:val="Compact"/>
            </w:pPr>
          </w:p>
        </w:tc>
      </w:tr>
      <w:tr>
        <w:tc>
          <w:tcPr/>
          <w:p>
            <w:pPr>
              <w:pStyle w:val="Compact"/>
            </w:pPr>
            <w:r>
              <w:rPr>
                <w:rStyle w:val="VerbatimChar"/>
              </w:rPr>
              <w:t xml:space="preserve">pxl-ppsinl</w:t>
            </w:r>
          </w:p>
        </w:tc>
        <w:tc>
          <w:tcPr/>
          <w:p>
            <w:pPr>
              <w:pStyle w:val="Compact"/>
            </w:pPr>
            <w:r>
              <w:t xml:space="preserve">Snow/Ice Mask</w:t>
            </w:r>
          </w:p>
        </w:tc>
        <w:tc>
          <w:tcPr/>
          <w:p>
            <w:pPr>
              <w:pStyle w:val="Compact"/>
            </w:pPr>
          </w:p>
        </w:tc>
        <w:tc>
          <w:tcPr/>
          <w:p>
            <w:pPr>
              <w:pStyle w:val="Compact"/>
            </w:pPr>
          </w:p>
        </w:tc>
      </w:tr>
      <w:tr>
        <w:tc>
          <w:tcPr/>
          <w:p>
            <w:pPr>
              <w:pStyle w:val="Compact"/>
            </w:pPr>
            <w:r>
              <w:rPr>
                <w:rStyle w:val="VerbatimChar"/>
              </w:rPr>
              <w:t xml:space="preserve">pxl-pptshr</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pxl-pptocc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pxl-ppvalu</w:t>
            </w:r>
          </w:p>
        </w:tc>
        <w:tc>
          <w:tcPr/>
          <w:p>
            <w:pPr>
              <w:pStyle w:val="Compact"/>
            </w:pPr>
            <w:r>
              <w:t xml:space="preserve">Lunar and Viewing Geometry</w:t>
            </w:r>
          </w:p>
        </w:tc>
        <w:tc>
          <w:tcPr/>
          <w:p>
            <w:pPr>
              <w:pStyle w:val="Compact"/>
            </w:pPr>
          </w:p>
        </w:tc>
        <w:tc>
          <w:tcPr/>
          <w:p>
            <w:pPr>
              <w:pStyle w:val="Compact"/>
            </w:pPr>
          </w:p>
        </w:tc>
      </w:tr>
      <w:tr>
        <w:tc>
          <w:tcPr/>
          <w:p>
            <w:pPr>
              <w:pStyle w:val="Compact"/>
            </w:pPr>
            <w:r>
              <w:rPr>
                <w:rStyle w:val="VerbatimChar"/>
              </w:rPr>
              <w:t xml:space="preserve">pxl-pptill</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pxl-ppmoon</w:t>
            </w:r>
          </w:p>
        </w:tc>
        <w:tc>
          <w:tcPr/>
          <w:p>
            <w:pPr>
              <w:pStyle w:val="Compact"/>
            </w:pPr>
            <w:r>
              <w:t xml:space="preserve">Moon Illumination Fraction</w:t>
            </w:r>
          </w:p>
        </w:tc>
        <w:tc>
          <w:tcPr/>
          <w:p>
            <w:pPr>
              <w:pStyle w:val="Compact"/>
            </w:pPr>
          </w:p>
        </w:tc>
        <w:tc>
          <w:tcPr/>
          <w:p>
            <w:pPr>
              <w:pStyle w:val="Compact"/>
            </w:pPr>
          </w:p>
        </w:tc>
      </w:tr>
      <w:tr>
        <w:tc>
          <w:tcPr/>
          <w:p>
            <w:pPr>
              <w:pStyle w:val="Compact"/>
            </w:pPr>
            <w:r>
              <w:rPr>
                <w:rStyle w:val="VerbatimChar"/>
              </w:rPr>
              <w:t xml:space="preserve">pxl-ppbrtt</w:t>
            </w:r>
          </w:p>
        </w:tc>
        <w:tc>
          <w:tcPr/>
          <w:p>
            <w:pPr>
              <w:pStyle w:val="Compact"/>
            </w:pPr>
            <w:r>
              <w:t xml:space="preserve">Brightness Temperature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pxl-ppsza</w:t>
            </w:r>
          </w:p>
        </w:tc>
        <w:tc>
          <w:tcPr/>
          <w:p>
            <w:pPr>
              <w:pStyle w:val="Compact"/>
            </w:pPr>
            <w:r>
              <w:t xml:space="preserve">Solar Zenith Angle</w:t>
            </w:r>
          </w:p>
        </w:tc>
        <w:tc>
          <w:tcPr/>
          <w:p>
            <w:pPr>
              <w:pStyle w:val="Compact"/>
            </w:pPr>
          </w:p>
        </w:tc>
        <w:tc>
          <w:tcPr/>
          <w:p>
            <w:pPr>
              <w:pStyle w:val="Compact"/>
              <w:jc w:val="center"/>
            </w:pPr>
            <w:r>
              <w:rPr>
                <w:i/>
                <w:iCs/>
              </w:rPr>
              <w:t xml:space="preserve">as threshold</w:t>
            </w:r>
          </w:p>
        </w:tc>
      </w:tr>
    </w:tbl>
    <w:bookmarkEnd w:id="194"/>
    <w:bookmarkStart w:id="195" w:name="radiometric-and-atmospheric-corrections"/>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rac-msnlsr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rac-uncsr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rac-nrmnls</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rac-atmcor</w:t>
            </w:r>
          </w:p>
        </w:tc>
        <w:tc>
          <w:tcPr/>
          <w:p>
            <w:pPr>
              <w:pStyle w:val="Compact"/>
            </w:pPr>
            <w:r>
              <w:t xml:space="preserve">Atmospheric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rac-lunrad</w:t>
            </w:r>
          </w:p>
        </w:tc>
        <w:tc>
          <w:tcPr/>
          <w:p>
            <w:pPr>
              <w:pStyle w:val="Compact"/>
            </w:pPr>
            <w:r>
              <w:t xml:space="preserve">Lunar Radiance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rac-strlit</w:t>
            </w:r>
          </w:p>
        </w:tc>
        <w:tc>
          <w:tcPr/>
          <w:p>
            <w:pPr>
              <w:pStyle w:val="Compact"/>
            </w:pPr>
            <w:r>
              <w:t xml:space="preserve">Stray Light Corrections</w:t>
            </w:r>
          </w:p>
        </w:tc>
        <w:tc>
          <w:tcPr/>
          <w:p>
            <w:pPr>
              <w:pStyle w:val="Compact"/>
            </w:pPr>
          </w:p>
        </w:tc>
        <w:tc>
          <w:tcPr/>
          <w:p>
            <w:pPr>
              <w:pStyle w:val="Compact"/>
              <w:jc w:val="center"/>
            </w:pPr>
            <w:r>
              <w:rPr>
                <w:i/>
                <w:iCs/>
              </w:rPr>
              <w:t xml:space="preserve">as threshold</w:t>
            </w:r>
          </w:p>
        </w:tc>
      </w:tr>
    </w:tbl>
    <w:bookmarkEnd w:id="195"/>
    <w:bookmarkStart w:id="196"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gcor-geocsr</w:t>
            </w:r>
          </w:p>
        </w:tc>
        <w:tc>
          <w:tcPr/>
          <w:p>
            <w:pPr>
              <w:pStyle w:val="Compact"/>
            </w:pPr>
            <w:r>
              <w:t xml:space="preserve">Geometric Correction</w:t>
            </w:r>
          </w:p>
        </w:tc>
        <w:tc>
          <w:tcPr/>
          <w:p>
            <w:pPr>
              <w:pStyle w:val="Compact"/>
            </w:pPr>
          </w:p>
        </w:tc>
        <w:tc>
          <w:tcPr/>
          <w:p>
            <w:pPr>
              <w:pStyle w:val="Compact"/>
            </w:pPr>
          </w:p>
        </w:tc>
      </w:tr>
    </w:tbl>
    <w:p>
      <w:r>
        <w:br w:type="page"/>
      </w:r>
    </w:p>
    <w:bookmarkEnd w:id="196"/>
    <w:bookmarkEnd w:id="197"/>
    <w:bookmarkStart w:id="202"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98"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98"/>
    <w:bookmarkStart w:id="200"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4"/>
        </w:numPr>
      </w:pPr>
      <w:r>
        <w:t xml:space="preserve">that product has been assessed as meeting CEOS-ARD requirements by the agency responsible for production and distribution of the product, and</w:t>
      </w:r>
    </w:p>
    <w:p>
      <w:pPr>
        <w:pStyle w:val="Compact"/>
        <w:numPr>
          <w:ilvl w:val="0"/>
          <w:numId w:val="106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99">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00"/>
    <w:bookmarkStart w:id="201"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01"/>
    <w:bookmarkEnd w:id="202"/>
    <w:bookmarkStart w:id="213" w:name="references"/>
    <w:p>
      <w:pPr>
        <w:pStyle w:val="berschrift2"/>
      </w:pPr>
      <w:r>
        <w:t xml:space="preserve">References</w:t>
      </w:r>
    </w:p>
    <w:bookmarkStart w:id="212" w:name="refs"/>
    <w:bookmarkStart w:id="203"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03"/>
    <w:bookmarkStart w:id="205"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204">
        <w:r>
          <w:rPr>
            <w:rStyle w:val="Hyperlink"/>
          </w:rPr>
          <w:t xml:space="preserve">https://doi.org/10.1117/12.2060143</w:t>
        </w:r>
      </w:hyperlink>
      <w:r>
        <w:t xml:space="preserve">.</w:t>
      </w:r>
    </w:p>
    <w:bookmarkEnd w:id="205"/>
    <w:bookmarkStart w:id="207"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206">
        <w:r>
          <w:rPr>
            <w:rStyle w:val="Hyperlink"/>
          </w:rPr>
          <w:t xml:space="preserve">https://doi.org/10.1016/j.rse.2018.03.017</w:t>
        </w:r>
      </w:hyperlink>
      <w:r>
        <w:t xml:space="preserve">.</w:t>
      </w:r>
    </w:p>
    <w:bookmarkEnd w:id="207"/>
    <w:bookmarkStart w:id="209"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208">
        <w:r>
          <w:rPr>
            <w:rStyle w:val="Hyperlink"/>
          </w:rPr>
          <w:t xml:space="preserve">https://doi.org/10.3390/rs11060710</w:t>
        </w:r>
      </w:hyperlink>
      <w:r>
        <w:t xml:space="preserve">.</w:t>
      </w:r>
    </w:p>
    <w:bookmarkEnd w:id="209"/>
    <w:bookmarkStart w:id="211"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210">
        <w:r>
          <w:rPr>
            <w:rStyle w:val="Hyperlink"/>
          </w:rPr>
          <w:t xml:space="preserve">https://doi.org/10.1016/j.rse.2021.112557</w:t>
        </w:r>
      </w:hyperlink>
      <w:r>
        <w:t xml:space="preserve">.</w:t>
      </w:r>
    </w:p>
    <w:bookmarkEnd w:id="211"/>
    <w:bookmarkEnd w:id="212"/>
    <w:bookmarkEnd w:id="213"/>
    <w:bookmarkEnd w:id="21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99" Target="https://ceos.org/ard/files/CEOS_ARD_Governance_Framework_18-October-2021.pdf" TargetMode="External" /><Relationship Type="http://schemas.openxmlformats.org/officeDocument/2006/relationships/hyperlink" Id="rId206" Target="https://doi.org/10.1016/j.rse.2018.03.017" TargetMode="External" /><Relationship Type="http://schemas.openxmlformats.org/officeDocument/2006/relationships/hyperlink" Id="rId210" Target="https://doi.org/10.1016/j.rse.2021.112557" TargetMode="External" /><Relationship Type="http://schemas.openxmlformats.org/officeDocument/2006/relationships/hyperlink" Id="rId204" Target="https://doi.org/10.1117/12.2060143" TargetMode="External" /><Relationship Type="http://schemas.openxmlformats.org/officeDocument/2006/relationships/hyperlink" Id="rId208" Target="https://doi.org/10.3390/rs11060710"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99" Target="https://ceos.org/ard/files/CEOS_ARD_Governance_Framework_18-October-2021.pdf" TargetMode="External" /><Relationship Type="http://schemas.openxmlformats.org/officeDocument/2006/relationships/hyperlink" Id="rId206" Target="https://doi.org/10.1016/j.rse.2018.03.017" TargetMode="External" /><Relationship Type="http://schemas.openxmlformats.org/officeDocument/2006/relationships/hyperlink" Id="rId210" Target="https://doi.org/10.1016/j.rse.2021.112557" TargetMode="External" /><Relationship Type="http://schemas.openxmlformats.org/officeDocument/2006/relationships/hyperlink" Id="rId204" Target="https://doi.org/10.1117/12.2060143" TargetMode="External" /><Relationship Type="http://schemas.openxmlformats.org/officeDocument/2006/relationships/hyperlink" Id="rId208" Target="https://doi.org/10.3390/rs11060710"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1.0.0-draft</dc:title>
  <dc:creator/>
  <dc:language>en</dc:language>
  <cp:keywords/>
  <dcterms:created xsi:type="dcterms:W3CDTF">2026-03-28T19:56:05Z</dcterms:created>
  <dcterms:modified xsi:type="dcterms:W3CDTF">2026-03-28T19:56:05Z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