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9" w:name="ceos-ard---optical---surface-reflectance"/>
    <w:p>
      <w:pPr>
        <w:pStyle w:val="berschrift1"/>
      </w:pPr>
      <w:r>
        <w:t xml:space="preserve">CEOS-ARD - Optical - Surface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Adam Lewis, Geoscience Australia, Australia</w:t>
      </w:r>
    </w:p>
    <w:p>
      <w:pPr>
        <w:pStyle w:val="Compact"/>
        <w:numPr>
          <w:ilvl w:val="0"/>
          <w:numId w:val="1001"/>
        </w:numPr>
      </w:pPr>
      <w:r>
        <w:t xml:space="preserve">Jonathon Ross, Geoscience Australia, Australia</w:t>
      </w:r>
    </w:p>
    <w:p>
      <w:pPr>
        <w:pStyle w:val="Compact"/>
        <w:numPr>
          <w:ilvl w:val="0"/>
          <w:numId w:val="1001"/>
        </w:numPr>
      </w:pPr>
      <w:r>
        <w:t xml:space="preserve">Andreia Siqueira, Geoscience Australia, Australia</w:t>
      </w:r>
    </w:p>
    <w:p>
      <w:pPr>
        <w:pStyle w:val="Compact"/>
        <w:numPr>
          <w:ilvl w:val="0"/>
          <w:numId w:val="1001"/>
        </w:numPr>
      </w:pPr>
      <w:r>
        <w:t xml:space="preserve">Darcie Bontje, USGS, USA</w:t>
      </w:r>
    </w:p>
    <w:p>
      <w:pPr>
        <w:pStyle w:val="Compact"/>
        <w:numPr>
          <w:ilvl w:val="0"/>
          <w:numId w:val="1001"/>
        </w:numPr>
      </w:pPr>
      <w:r>
        <w:t xml:space="preserve">Steve Labahn, USGS, USA</w:t>
      </w:r>
    </w:p>
    <w:p>
      <w:pPr>
        <w:pStyle w:val="Compact"/>
        <w:numPr>
          <w:ilvl w:val="0"/>
          <w:numId w:val="1001"/>
        </w:numPr>
      </w:pPr>
      <w:r>
        <w:t xml:space="preserve">Mary Metzger, USGS, USA</w:t>
      </w:r>
    </w:p>
    <w:p>
      <w:pPr>
        <w:pStyle w:val="Compact"/>
        <w:numPr>
          <w:ilvl w:val="0"/>
          <w:numId w:val="1001"/>
        </w:numPr>
      </w:pPr>
      <w:r>
        <w:t xml:space="preserve">Matt Steventon, LSI-VC Secretariat</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multispectral optical sensors operating in the VIS/NIR/SWIR wavelengths at all ground sample distances and resolutions.</w:t>
      </w:r>
    </w:p>
    <w:p>
      <w:r>
        <w:br w:type="page"/>
      </w:r>
    </w:p>
    <w:bookmarkEnd w:id="29"/>
    <w:bookmarkStart w:id="30" w:name="definitions-and-abbreviations"/>
    <w:p>
      <w:pPr>
        <w:pStyle w:val="berschrift2"/>
      </w:pPr>
      <w:r>
        <w:t xml:space="preserve">Definitions and Abbreviations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VIS</w:t>
      </w:r>
    </w:p>
    <w:p>
      <w:pPr>
        <w:pStyle w:val="Definition"/>
      </w:pPr>
      <w:r>
        <w:t xml:space="preserve">Visible</w:t>
      </w:r>
    </w:p>
    <w:p>
      <w:r>
        <w:br w:type="page"/>
      </w:r>
    </w:p>
    <w:bookmarkEnd w:id="30"/>
    <w:bookmarkStart w:id="61"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35"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bookmarkEnd w:id="33"/>
    <w:bookmarkEnd w:id="34"/>
    <w:bookmarkEnd w:id="35"/>
    <w:bookmarkStart w:id="40"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rc.example"/>
    <w:p>
      <w:pPr>
        <w:pStyle w:val="berschrift4"/>
      </w:pPr>
      <w:r>
        <w:rPr>
          <w:rStyle w:val="VerbatimChar"/>
        </w:rPr>
        <w:t xml:space="preserve">2.1.</w:t>
      </w:r>
      <w:r>
        <w:t xml:space="preserve"> </w:t>
      </w:r>
      <w:r>
        <w:t xml:space="preserve">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6" w:name="threshold-requirements-1"/>
    <w:p>
      <w:pPr>
        <w:pStyle w:val="berschrift5"/>
      </w:pPr>
      <w:r>
        <w:t xml:space="preserve">Threshold requirements:</w:t>
      </w:r>
    </w:p>
    <w:p>
      <w:pPr>
        <w:pStyle w:val="FirstParagraph"/>
      </w:pPr>
      <w:r>
        <w:t xml:space="preserve">This is a threshold requirement.</w:t>
      </w:r>
    </w:p>
    <w:bookmarkEnd w:id="36"/>
    <w:bookmarkStart w:id="37"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4"/>
        </w:numPr>
      </w:pPr>
      <w:r>
        <w:t xml:space="preserve">This is a note.</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bookmarkEnd w:id="38"/>
    <w:bookmarkEnd w:id="39"/>
    <w:bookmarkEnd w:id="40"/>
    <w:bookmarkStart w:id="4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4" w:name="sec:prd.example"/>
    <w:p>
      <w:pPr>
        <w:pStyle w:val="berschrift4"/>
      </w:pPr>
      <w:r>
        <w:rPr>
          <w:rStyle w:val="VerbatimChar"/>
        </w:rPr>
        <w:t xml:space="preserve">3.1.</w:t>
      </w:r>
      <w:r>
        <w:t xml:space="preserve"> </w:t>
      </w:r>
      <w:r>
        <w:t xml:space="preserve">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1" w:name="threshold-requirements-2"/>
    <w:p>
      <w:pPr>
        <w:pStyle w:val="berschrift5"/>
      </w:pPr>
      <w:r>
        <w:t xml:space="preserve">Threshold requirements:</w:t>
      </w:r>
    </w:p>
    <w:p>
      <w:pPr>
        <w:pStyle w:val="FirstParagraph"/>
      </w:pPr>
      <w:r>
        <w:t xml:space="preserve">This is a threshold requirement.</w:t>
      </w:r>
    </w:p>
    <w:bookmarkEnd w:id="41"/>
    <w:bookmarkStart w:id="42"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6"/>
        </w:numPr>
      </w:pPr>
      <w:r>
        <w:t xml:space="preserve">This is a note.</w:t>
      </w:r>
    </w:p>
    <w:bookmarkEnd w:id="42"/>
    <w:bookmarkStart w:id="43"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3"/>
    <w:bookmarkEnd w:id="44"/>
    <w:bookmarkEnd w:id="45"/>
    <w:bookmarkStart w:id="50"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49" w:name="sec:pxl.example"/>
    <w:p>
      <w:pPr>
        <w:pStyle w:val="berschrift4"/>
      </w:pPr>
      <w:r>
        <w:rPr>
          <w:rStyle w:val="VerbatimChar"/>
        </w:rPr>
        <w:t xml:space="preserve">4.1.</w:t>
      </w:r>
      <w:r>
        <w:t xml:space="preserve"> </w:t>
      </w:r>
      <w:r>
        <w:t xml:space="preserve">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6" w:name="threshold-requirements-3"/>
    <w:p>
      <w:pPr>
        <w:pStyle w:val="berschrift5"/>
      </w:pPr>
      <w:r>
        <w:t xml:space="preserve">Threshold requirements:</w:t>
      </w:r>
    </w:p>
    <w:p>
      <w:pPr>
        <w:pStyle w:val="FirstParagraph"/>
      </w:pPr>
      <w:r>
        <w:t xml:space="preserve">This is a threshold requirement.</w:t>
      </w:r>
    </w:p>
    <w:bookmarkEnd w:id="46"/>
    <w:bookmarkStart w:id="47"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47"/>
    <w:bookmarkStart w:id="48"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48"/>
    <w:bookmarkEnd w:id="49"/>
    <w:bookmarkEnd w:id="50"/>
    <w:bookmarkStart w:id="55"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w:t>
      </w:r>
    </w:p>
    <w:bookmarkStart w:id="54" w:name="sec:rac.measurements-uncertainty"/>
    <w:p>
      <w:pPr>
        <w:pStyle w:val="berschrift4"/>
      </w:pPr>
      <w:r>
        <w:rPr>
          <w:rStyle w:val="VerbatimChar"/>
        </w:rPr>
        <w:t xml:space="preserve">5.1.</w:t>
      </w:r>
      <w:r>
        <w:t xml:space="preserve"> </w:t>
      </w:r>
      <w:r>
        <w:t xml:space="preserve">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1" w:name="threshold-requirements-4"/>
    <w:p>
      <w:pPr>
        <w:pStyle w:val="berschrift5"/>
      </w:pPr>
      <w:r>
        <w:t xml:space="preserve">Threshold requirements:</w:t>
      </w:r>
    </w:p>
    <w:p>
      <w:pPr>
        <w:pStyle w:val="FirstParagraph"/>
      </w:pPr>
      <w:r>
        <w:t xml:space="preserve">Not required.</w:t>
      </w:r>
      <w:r>
        <w:t xml:space="preserve"> </w:t>
      </w:r>
    </w:p>
    <w:bookmarkEnd w:id="51"/>
    <w:bookmarkStart w:id="52"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0"/>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0"/>
        </w:numPr>
      </w:pPr>
      <w:r>
        <w:t xml:space="preserve">Information on measurement uncertainty should be available in the metadata as a single DOI landing page.</w:t>
      </w:r>
    </w:p>
    <w:bookmarkEnd w:id="52"/>
    <w:bookmarkStart w:id="53" w:name="assessment-4"/>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53"/>
    <w:bookmarkEnd w:id="54"/>
    <w:bookmarkEnd w:id="55"/>
    <w:bookmarkStart w:id="60"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cor.example"/>
    <w:p>
      <w:pPr>
        <w:pStyle w:val="berschrift4"/>
      </w:pPr>
      <w:r>
        <w:rPr>
          <w:rStyle w:val="VerbatimChar"/>
        </w:rPr>
        <w:t xml:space="preserve">6.1.</w:t>
      </w:r>
      <w:r>
        <w:t xml:space="preserve"> </w:t>
      </w:r>
      <w:r>
        <w:t xml:space="preserve">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6" w:name="threshold-requirements-5"/>
    <w:p>
      <w:pPr>
        <w:pStyle w:val="berschrift5"/>
      </w:pPr>
      <w:r>
        <w:t xml:space="preserve">Threshold requirements:</w:t>
      </w:r>
    </w:p>
    <w:p>
      <w:pPr>
        <w:pStyle w:val="FirstParagraph"/>
      </w:pPr>
      <w:r>
        <w:t xml:space="preserve">This is a threshold requirement.</w:t>
      </w:r>
    </w:p>
    <w:bookmarkEnd w:id="56"/>
    <w:bookmarkStart w:id="57"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57"/>
    <w:bookmarkStart w:id="58" w:name="assessment-5"/>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5"/>
    <w:bookmarkStart w:id="66"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6"/>
    <w:bookmarkStart w:id="67"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3"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69"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69"/>
    <w:bookmarkStart w:id="71"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14"/>
        </w:numPr>
      </w:pPr>
      <w:r>
        <w:t xml:space="preserve">that product has been assessed as meeting CEOS-ARD requirements by the agency responsible for production and distribution of the product, and</w:t>
      </w:r>
    </w:p>
    <w:p>
      <w:pPr>
        <w:pStyle w:val="Compact"/>
        <w:numPr>
          <w:ilvl w:val="0"/>
          <w:numId w:val="101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70">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71"/>
    <w:bookmarkStart w:id="72"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72"/>
    <w:bookmarkEnd w:id="73"/>
    <w:bookmarkStart w:id="78" w:name="references"/>
    <w:p>
      <w:pPr>
        <w:pStyle w:val="berschrift2"/>
      </w:pPr>
      <w:r>
        <w:t xml:space="preserve">References</w:t>
      </w:r>
    </w:p>
    <w:bookmarkStart w:id="77" w:name="refs"/>
    <w:bookmarkStart w:id="7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4"/>
    <w:bookmarkStart w:id="76"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75">
        <w:r>
          <w:rPr>
            <w:rStyle w:val="Hyperlink"/>
          </w:rPr>
          <w:t xml:space="preserve">https://doi.org/10.1016/j.rse.2012.06.018</w:t>
        </w:r>
      </w:hyperlink>
      <w:r>
        <w:t xml:space="preserve">.</w:t>
      </w:r>
    </w:p>
    <w:bookmarkEnd w:id="76"/>
    <w:bookmarkEnd w:id="77"/>
    <w:bookmarkEnd w:id="78"/>
    <w:bookmarkEnd w:id="79"/>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70" Target="https://ceos.org/ard/files/CEOS_ARD_Governance_Framework_18-October-2021.pdf" TargetMode="External" /><Relationship Type="http://schemas.openxmlformats.org/officeDocument/2006/relationships/hyperlink" Id="rId75" Target="https://doi.org/10.1016/j.rse.2012.06.018"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70" Target="https://ceos.org/ard/files/CEOS_ARD_Governance_Framework_18-October-2021.pdf" TargetMode="External" /><Relationship Type="http://schemas.openxmlformats.org/officeDocument/2006/relationships/hyperlink" Id="rId75" Target="https://doi.org/10.1016/j.rse.2012.06.018"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5.1-draft</dc:title>
  <dc:creator/>
  <dc:language>en</dc:language>
  <cp:keywords/>
  <dcterms:created xsi:type="dcterms:W3CDTF">2025-10-13T16:22:54Z</dcterms:created>
  <dcterms:modified xsi:type="dcterms:W3CDTF">2025-10-13T16:22:54Z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