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74" w:name="ceos-ard---optical---surface-reflectance"/>
    <w:p>
      <w:pPr>
        <w:pStyle w:val="berschrift1"/>
      </w:pPr>
      <w:r>
        <w:t xml:space="preserve">CEOS-ARD - Optical - Surface Reflectance</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Optical, Surface Reflectance (SR)</w:t>
      </w:r>
    </w:p>
    <w:p>
      <w:pPr>
        <w:pStyle w:val="Textkrper"/>
      </w:pPr>
      <w:r>
        <w:rPr>
          <w:b/>
          <w:bCs/>
        </w:rPr>
        <w:t xml:space="preserve">Applies to:</w:t>
      </w:r>
      <w:r>
        <w:t xml:space="preserve"> </w:t>
      </w:r>
      <w:r>
        <w:t xml:space="preserve">Data collected with multispectral optical sensors operating in the VIS/NIR/SWIR wavelengths at all ground sample distances and resolutions.</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Geoscience Australia, Australia</w:t>
      </w:r>
    </w:p>
    <w:p>
      <w:pPr>
        <w:pStyle w:val="Compact"/>
        <w:numPr>
          <w:ilvl w:val="1"/>
          <w:numId w:val="1002"/>
        </w:numPr>
      </w:pPr>
      <w:r>
        <w:t xml:space="preserve">Adam Lewis</w:t>
      </w:r>
    </w:p>
    <w:p>
      <w:pPr>
        <w:pStyle w:val="Compact"/>
        <w:numPr>
          <w:ilvl w:val="1"/>
          <w:numId w:val="1002"/>
        </w:numPr>
      </w:pPr>
      <w:r>
        <w:t xml:space="preserve">Jonathon Ross</w:t>
      </w:r>
    </w:p>
    <w:p>
      <w:pPr>
        <w:pStyle w:val="Compact"/>
        <w:numPr>
          <w:ilvl w:val="1"/>
          <w:numId w:val="1002"/>
        </w:numPr>
      </w:pPr>
      <w:r>
        <w:t xml:space="preserve">Andreia Siqueira</w:t>
      </w:r>
    </w:p>
    <w:p>
      <w:pPr>
        <w:pStyle w:val="Compact"/>
        <w:numPr>
          <w:ilvl w:val="0"/>
          <w:numId w:val="1001"/>
        </w:numPr>
      </w:pPr>
      <w:r>
        <w:t xml:space="preserve">USGS, USA</w:t>
      </w:r>
    </w:p>
    <w:p>
      <w:pPr>
        <w:pStyle w:val="Compact"/>
        <w:numPr>
          <w:ilvl w:val="1"/>
          <w:numId w:val="1003"/>
        </w:numPr>
      </w:pPr>
      <w:r>
        <w:t xml:space="preserve">Darcie Bontje</w:t>
      </w:r>
    </w:p>
    <w:p>
      <w:pPr>
        <w:pStyle w:val="Compact"/>
        <w:numPr>
          <w:ilvl w:val="1"/>
          <w:numId w:val="1003"/>
        </w:numPr>
      </w:pPr>
      <w:r>
        <w:t xml:space="preserve">Steve Labahn</w:t>
      </w:r>
    </w:p>
    <w:p>
      <w:pPr>
        <w:pStyle w:val="Compact"/>
        <w:numPr>
          <w:ilvl w:val="1"/>
          <w:numId w:val="1003"/>
        </w:numPr>
      </w:pPr>
      <w:r>
        <w:t xml:space="preserve">Mary Metzger</w:t>
      </w:r>
    </w:p>
    <w:p>
      <w:pPr>
        <w:pStyle w:val="Compact"/>
        <w:numPr>
          <w:ilvl w:val="0"/>
          <w:numId w:val="1001"/>
        </w:numPr>
      </w:pPr>
      <w:r>
        <w:t xml:space="preserve">LSI-VC Secretariat</w:t>
      </w:r>
    </w:p>
    <w:p>
      <w:pPr>
        <w:pStyle w:val="Compact"/>
        <w:numPr>
          <w:ilvl w:val="1"/>
          <w:numId w:val="1004"/>
        </w:numPr>
      </w:pPr>
      <w:r>
        <w:t xml:space="preserve">Matt Steventon</w:t>
      </w:r>
    </w:p>
    <w:p>
      <w:r>
        <w:br w:type="page"/>
      </w:r>
    </w:p>
    <w:bookmarkEnd w:id="24"/>
    <w:bookmarkStart w:id="25" w:name="glossary"/>
    <w:p>
      <w:pPr>
        <w:pStyle w:val="berschrift2"/>
      </w:pPr>
      <w:r>
        <w:t xml:space="preserve">Glossary</w:t>
      </w:r>
    </w:p>
    <w:p>
      <w:pPr>
        <w:pStyle w:val="DefinitionTerm"/>
      </w:pPr>
      <w:r>
        <w:t xml:space="preserve">CEOS-ARD</w:t>
      </w:r>
    </w:p>
    <w:p>
      <w:pPr>
        <w:pStyle w:val="Definition"/>
      </w:pPr>
      <w:r>
        <w:t xml:space="preserve">Committee on Earth Observation Satellites - Analysis Ready Data</w:t>
      </w:r>
    </w:p>
    <w:p>
      <w:pPr>
        <w:pStyle w:val="DefinitionTerm"/>
      </w:pPr>
      <w:r>
        <w:t xml:space="preserve">DOI</w:t>
      </w:r>
    </w:p>
    <w:p>
      <w:pPr>
        <w:pStyle w:val="Definition"/>
      </w:pPr>
      <w:r>
        <w:t xml:space="preserve">Digital Object Identifier</w:t>
      </w:r>
    </w:p>
    <w:p>
      <w:pPr>
        <w:pStyle w:val="DefinitionTerm"/>
      </w:pPr>
      <w:r>
        <w:t xml:space="preserve">NIR</w:t>
      </w:r>
    </w:p>
    <w:p>
      <w:pPr>
        <w:pStyle w:val="Definition"/>
      </w:pPr>
      <w:r>
        <w:t xml:space="preserve">Near Infrared</w:t>
      </w:r>
    </w:p>
    <w:p>
      <w:pPr>
        <w:pStyle w:val="DefinitionTerm"/>
      </w:pPr>
      <w:r>
        <w:t xml:space="preserve">SI</w:t>
      </w:r>
    </w:p>
    <w:p>
      <w:pPr>
        <w:pStyle w:val="Definition"/>
      </w:pPr>
      <w:r>
        <w:t xml:space="preserve">International System of Units</w:t>
      </w:r>
    </w:p>
    <w:p>
      <w:pPr>
        <w:pStyle w:val="DefinitionTerm"/>
      </w:pPr>
      <w:r>
        <w:t xml:space="preserve">SR</w:t>
      </w:r>
    </w:p>
    <w:p>
      <w:pPr>
        <w:pStyle w:val="Definition"/>
      </w:pPr>
      <w:r>
        <w:t xml:space="preserve">Surface Reflectance</w:t>
      </w:r>
    </w:p>
    <w:p>
      <w:pPr>
        <w:pStyle w:val="DefinitionTerm"/>
      </w:pPr>
      <w:r>
        <w:t xml:space="preserve">SWIR</w:t>
      </w:r>
    </w:p>
    <w:p>
      <w:pPr>
        <w:pStyle w:val="Definition"/>
      </w:pPr>
      <w:r>
        <w:t xml:space="preserve">Shortwave Infrared</w:t>
      </w:r>
    </w:p>
    <w:p>
      <w:pPr>
        <w:pStyle w:val="DefinitionTerm"/>
      </w:pPr>
      <w:r>
        <w:t xml:space="preserve">VIS</w:t>
      </w:r>
    </w:p>
    <w:p>
      <w:pPr>
        <w:pStyle w:val="Definition"/>
      </w:pPr>
      <w:r>
        <w:t xml:space="preserve">Visible</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05"/>
        </w:numPr>
      </w:pPr>
      <w:r>
        <w:t xml:space="preserve">that product has been assessed as meeting CEOS-ARD requirements by the agency or other entities responsible for production and distribution of the product, and</w:t>
      </w:r>
    </w:p>
    <w:p>
      <w:pPr>
        <w:pStyle w:val="Compact"/>
        <w:numPr>
          <w:ilvl w:val="0"/>
          <w:numId w:val="1005"/>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61"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35" w:name="general-metadata"/>
    <w:p>
      <w:pPr>
        <w:pStyle w:val="berschrift3"/>
      </w:pP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general-metadata-traceability"/>
    <w:p>
      <w:pPr>
        <w:pStyle w:val="berschrift4"/>
      </w:pPr>
      <w:r>
        <w:t xml:space="preserve">1.1 Traceability (</w:t>
      </w:r>
      <w:r>
        <w:rPr>
          <w:rStyle w:val="VerbatimChar"/>
        </w:rPr>
        <w:t xml:space="preserve">general-metadata-traceability</w:t>
      </w:r>
      <w:r>
        <w:t xml:space="preserve">)</w:t>
      </w:r>
    </w:p>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6"/>
        </w:numPr>
      </w:pPr>
      <w:r>
        <w:t xml:space="preserve">Relationship to</w:t>
      </w:r>
      <w:r>
        <w:t xml:space="preserve"> </w:t>
      </w:r>
      <w:r>
        <w:t xml:space="preserve">(</w:t>
      </w:r>
      <w:hyperlink w:anchor="ref-measurements/uncertainty">
        <w:r>
          <w:rPr>
            <w:rStyle w:val="Hyperlink"/>
            <w:b/>
            <w:bCs/>
          </w:rPr>
          <w:t xml:space="preserve">measurements/uncertainty?</w:t>
        </w:r>
      </w:hyperlink>
      <w:r>
        <w:t xml:space="preserve">)</w:t>
      </w:r>
      <w:r>
        <w:t xml:space="preserve"> </w:t>
      </w:r>
      <w:r>
        <w:t xml:space="preserve">or item 3.5 (SAR).</w:t>
      </w:r>
      <w:r>
        <w:t xml:space="preserve"> </w:t>
      </w:r>
      <w:r>
        <w:t xml:space="preserve">Traceability requires an estimate of measurement uncertainty.</w:t>
      </w:r>
    </w:p>
    <w:p>
      <w:pPr>
        <w:pStyle w:val="Compact"/>
        <w:numPr>
          <w:ilvl w:val="0"/>
          <w:numId w:val="1006"/>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Target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33"/>
    <w:bookmarkEnd w:id="34"/>
    <w:bookmarkEnd w:id="35"/>
    <w:bookmarkStart w:id="40" w:name="source-metadata"/>
    <w:p>
      <w:pPr>
        <w:pStyle w:val="berschrift3"/>
      </w:pP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39" w:name="sec:source-example"/>
    <w:p>
      <w:pPr>
        <w:pStyle w:val="berschrift4"/>
      </w:pPr>
      <w:r>
        <w:t xml:space="preserve">2.1 Example Requirement (</w:t>
      </w:r>
      <w:r>
        <w:rPr>
          <w:rStyle w:val="VerbatimChar"/>
        </w:rPr>
        <w:t xml:space="preserve">source-example</w:t>
      </w:r>
      <w:r>
        <w:t xml:space="preserve">)</w:t>
      </w:r>
    </w:p>
    <w:p>
      <w:pPr>
        <w:pStyle w:val="FirstParagraph"/>
      </w:pPr>
      <w:r>
        <w:t xml:space="preserve">This is an example requirement.</w:t>
      </w:r>
    </w:p>
    <w:bookmarkStart w:id="36" w:name="goal-requirements-1"/>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08"/>
        </w:numPr>
      </w:pPr>
      <w:r>
        <w:t xml:space="preserve">This is a note.</w:t>
      </w:r>
    </w:p>
    <w:bookmarkEnd w:id="36"/>
    <w:bookmarkStart w:id="37" w:name="threshold-requirements"/>
    <w:p>
      <w:pPr>
        <w:pStyle w:val="berschrift5"/>
      </w:pPr>
      <w:r>
        <w:t xml:space="preserve">Threshold requirements:</w:t>
      </w:r>
    </w:p>
    <w:p>
      <w:pPr>
        <w:pStyle w:val="FirstParagraph"/>
      </w:pPr>
      <w:r>
        <w:t xml:space="preserve">This is a threshold requirement.</w:t>
      </w:r>
    </w:p>
    <w:bookmarkEnd w:id="37"/>
    <w:bookmarkStart w:id="38" w:name="assessment-1"/>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Target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bookmarkEnd w:id="38"/>
    <w:bookmarkEnd w:id="39"/>
    <w:bookmarkEnd w:id="40"/>
    <w:bookmarkStart w:id="45" w:name="product-metadata"/>
    <w:p>
      <w:pPr>
        <w:pStyle w:val="berschrift3"/>
      </w:pPr>
      <w:r>
        <w:t xml:space="preserve">Product Metadata</w:t>
      </w:r>
    </w:p>
    <w:p>
      <w:pPr>
        <w:pStyle w:val="FirstParagraph"/>
      </w:pPr>
      <w:r>
        <w:t xml:space="preserve">Information related to the CEOS-ARD product generation procedure and geographic parameters.</w:t>
      </w:r>
    </w:p>
    <w:bookmarkStart w:id="44" w:name="sec:product-example"/>
    <w:p>
      <w:pPr>
        <w:pStyle w:val="berschrift4"/>
      </w:pPr>
      <w:r>
        <w:t xml:space="preserve">3.1 Example Requirement (</w:t>
      </w:r>
      <w:r>
        <w:rPr>
          <w:rStyle w:val="VerbatimChar"/>
        </w:rPr>
        <w:t xml:space="preserve">product-example</w:t>
      </w:r>
      <w:r>
        <w:t xml:space="preserve">)</w:t>
      </w:r>
    </w:p>
    <w:p>
      <w:pPr>
        <w:pStyle w:val="FirstParagraph"/>
      </w:pPr>
      <w:r>
        <w:t xml:space="preserve">This is an example requirement.</w:t>
      </w:r>
    </w:p>
    <w:bookmarkStart w:id="41" w:name="goal-requirements-2"/>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0"/>
        </w:numPr>
      </w:pPr>
      <w:r>
        <w:t xml:space="preserve">This is a note.</w:t>
      </w:r>
    </w:p>
    <w:bookmarkEnd w:id="41"/>
    <w:bookmarkStart w:id="42" w:name="threshold-requirements-1"/>
    <w:p>
      <w:pPr>
        <w:pStyle w:val="berschrift5"/>
      </w:pPr>
      <w:r>
        <w:t xml:space="preserve">Threshold requirements:</w:t>
      </w:r>
    </w:p>
    <w:p>
      <w:pPr>
        <w:pStyle w:val="FirstParagraph"/>
      </w:pPr>
      <w:r>
        <w:t xml:space="preserve">This is a threshold requirement.</w:t>
      </w:r>
    </w:p>
    <w:bookmarkEnd w:id="42"/>
    <w:bookmarkStart w:id="43" w:name="assessment-2"/>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Target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bookmarkEnd w:id="43"/>
    <w:bookmarkEnd w:id="44"/>
    <w:bookmarkEnd w:id="45"/>
    <w:bookmarkStart w:id="50" w:name="per-pixel-metadata"/>
    <w:p>
      <w:pPr>
        <w:pStyle w:val="berschrift3"/>
      </w:pP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49" w:name="sec:per-pixel-example"/>
    <w:p>
      <w:pPr>
        <w:pStyle w:val="berschrift4"/>
      </w:pPr>
      <w:r>
        <w:t xml:space="preserve">4.1 Example Requirement (</w:t>
      </w:r>
      <w:r>
        <w:rPr>
          <w:rStyle w:val="VerbatimChar"/>
        </w:rPr>
        <w:t xml:space="preserve">per-pixel-example</w:t>
      </w:r>
      <w:r>
        <w:t xml:space="preserve">)</w:t>
      </w:r>
    </w:p>
    <w:p>
      <w:pPr>
        <w:pStyle w:val="FirstParagraph"/>
      </w:pPr>
      <w:r>
        <w:t xml:space="preserve">This is an example requirement.</w:t>
      </w:r>
    </w:p>
    <w:bookmarkStart w:id="46" w:name="goal-requirements-3"/>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2"/>
        </w:numPr>
      </w:pPr>
      <w:r>
        <w:t xml:space="preserve">This is a note.</w:t>
      </w:r>
    </w:p>
    <w:bookmarkEnd w:id="46"/>
    <w:bookmarkStart w:id="47" w:name="threshold-requirements-2"/>
    <w:p>
      <w:pPr>
        <w:pStyle w:val="berschrift5"/>
      </w:pPr>
      <w:r>
        <w:t xml:space="preserve">Threshold requirements:</w:t>
      </w:r>
    </w:p>
    <w:p>
      <w:pPr>
        <w:pStyle w:val="FirstParagraph"/>
      </w:pPr>
      <w:r>
        <w:t xml:space="preserve">This is a threshold requirement.</w:t>
      </w:r>
    </w:p>
    <w:bookmarkEnd w:id="47"/>
    <w:bookmarkStart w:id="48" w:name="assessment-3"/>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Target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bookmarkEnd w:id="48"/>
    <w:bookmarkEnd w:id="49"/>
    <w:bookmarkEnd w:id="50"/>
    <w:bookmarkStart w:id="55" w:name="radiometric-and-atmospheric-corrections"/>
    <w:p>
      <w:pPr>
        <w:pStyle w:val="berschrift3"/>
      </w:pPr>
      <w:r>
        <w:t xml:space="preserve">Radiometric and Atmospheric Corrections</w:t>
      </w:r>
    </w:p>
    <w:p>
      <w:pPr>
        <w:pStyle w:val="FirstParagraph"/>
      </w:pPr>
      <w:r>
        <w:t xml:space="preserve">The following requirements must be met for all pixels in a collection.</w:t>
      </w:r>
      <w:r>
        <w:t xml:space="preserve"> </w:t>
      </w:r>
      <w:r>
        <w:t xml:space="preserve">The requirements indicate both the necessary outcomes and the minimum steps necessary to be deemed to have achieved those outcomes. Radiometric corrections must lead to a valid measurement of surface reflectance.</w:t>
      </w:r>
    </w:p>
    <w:bookmarkStart w:id="54" w:name="sec:corrections-example"/>
    <w:p>
      <w:pPr>
        <w:pStyle w:val="berschrift4"/>
      </w:pPr>
      <w:r>
        <w:t xml:space="preserve">5.1 Example Requirement (</w:t>
      </w:r>
      <w:r>
        <w:rPr>
          <w:rStyle w:val="VerbatimChar"/>
        </w:rPr>
        <w:t xml:space="preserve">corrections-example</w:t>
      </w:r>
      <w:r>
        <w:t xml:space="preserve">)</w:t>
      </w:r>
    </w:p>
    <w:p>
      <w:pPr>
        <w:pStyle w:val="FirstParagraph"/>
      </w:pPr>
      <w:r>
        <w:t xml:space="preserve">This is an example requirement.</w:t>
      </w:r>
    </w:p>
    <w:bookmarkStart w:id="51" w:name="goal-requirements-4"/>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4"/>
        </w:numPr>
      </w:pPr>
      <w:r>
        <w:t xml:space="preserve">This is a note.</w:t>
      </w:r>
    </w:p>
    <w:bookmarkEnd w:id="51"/>
    <w:bookmarkStart w:id="52" w:name="threshold-requirements-3"/>
    <w:p>
      <w:pPr>
        <w:pStyle w:val="berschrift5"/>
      </w:pPr>
      <w:r>
        <w:t xml:space="preserve">Threshold requirements:</w:t>
      </w:r>
    </w:p>
    <w:p>
      <w:pPr>
        <w:pStyle w:val="FirstParagraph"/>
      </w:pPr>
      <w:r>
        <w:t xml:space="preserve">This is a threshold requirement.</w:t>
      </w:r>
    </w:p>
    <w:bookmarkEnd w:id="52"/>
    <w:bookmarkStart w:id="53" w:name="assessment-4"/>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Target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bookmarkEnd w:id="53"/>
    <w:bookmarkEnd w:id="54"/>
    <w:bookmarkEnd w:id="55"/>
    <w:bookmarkStart w:id="60" w:name="geometric-corrections"/>
    <w:p>
      <w:pPr>
        <w:pStyle w:val="berschrift3"/>
      </w:pP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59" w:name="sec:geometric-corrections-example"/>
    <w:p>
      <w:pPr>
        <w:pStyle w:val="berschrift4"/>
      </w:pPr>
      <w:r>
        <w:t xml:space="preserve">6.1 Example Requirement (</w:t>
      </w:r>
      <w:r>
        <w:rPr>
          <w:rStyle w:val="VerbatimChar"/>
        </w:rPr>
        <w:t xml:space="preserve">geometric-corrections-example</w:t>
      </w:r>
      <w:r>
        <w:t xml:space="preserve">)</w:t>
      </w:r>
    </w:p>
    <w:p>
      <w:pPr>
        <w:pStyle w:val="FirstParagraph"/>
      </w:pPr>
      <w:r>
        <w:t xml:space="preserve">This is an example requirement.</w:t>
      </w:r>
    </w:p>
    <w:bookmarkStart w:id="56" w:name="goal-requirements-5"/>
    <w:p>
      <w:pPr>
        <w:pStyle w:val="berschrift5"/>
      </w:pPr>
      <w:r>
        <w:t xml:space="preserve">Goal requirements:</w:t>
      </w:r>
    </w:p>
    <w:p>
      <w:pPr>
        <w:pStyle w:val="FirstParagraph"/>
      </w:pPr>
      <w:r>
        <w:t xml:space="preserve">This is a goal requirement.</w:t>
      </w:r>
    </w:p>
    <w:p>
      <w:pPr>
        <w:pStyle w:val="Textkrper"/>
      </w:pPr>
      <w:r>
        <w:t xml:space="preserve">Notes:</w:t>
      </w:r>
    </w:p>
    <w:p>
      <w:pPr>
        <w:pStyle w:val="Compact"/>
        <w:numPr>
          <w:ilvl w:val="0"/>
          <w:numId w:val="1016"/>
        </w:numPr>
      </w:pPr>
      <w:r>
        <w:t xml:space="preserve">This is a note.</w:t>
      </w:r>
    </w:p>
    <w:bookmarkEnd w:id="56"/>
    <w:bookmarkStart w:id="57" w:name="threshold-requirements-4"/>
    <w:p>
      <w:pPr>
        <w:pStyle w:val="berschrift5"/>
      </w:pPr>
      <w:r>
        <w:t xml:space="preserve">Threshold requirements:</w:t>
      </w:r>
    </w:p>
    <w:p>
      <w:pPr>
        <w:pStyle w:val="FirstParagraph"/>
      </w:pPr>
      <w:r>
        <w:t xml:space="preserve">This is a threshold requirement.</w:t>
      </w:r>
    </w:p>
    <w:bookmarkEnd w:id="57"/>
    <w:bookmarkStart w:id="58" w:name="assessment-5"/>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Target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br w:type="page"/>
      </w:r>
    </w:p>
    <w:bookmarkEnd w:id="58"/>
    <w:bookmarkEnd w:id="59"/>
    <w:bookmarkEnd w:id="60"/>
    <w:bookmarkEnd w:id="61"/>
    <w:bookmarkStart w:id="68" w:name="summary-self-assessment-table"/>
    <w:p>
      <w:pPr>
        <w:pStyle w:val="berschrift2"/>
      </w:pPr>
      <w:r>
        <w:t xml:space="preserve">Summary Self-Assessment Table</w:t>
      </w:r>
    </w:p>
    <w:bookmarkStart w:id="62" w:name="general-metadata-1"/>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general-metadata-traceability</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bl>
    <w:bookmarkEnd w:id="62"/>
    <w:bookmarkStart w:id="63" w:name="source-metadata-1"/>
    <w:p>
      <w:pPr>
        <w:pStyle w:val="berschrift3"/>
      </w:pPr>
      <w:r>
        <w:t xml:space="preserve">Source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source-example</w:t>
            </w:r>
          </w:p>
        </w:tc>
        <w:tc>
          <w:tcPr/>
          <w:p>
            <w:pPr>
              <w:pStyle w:val="Compact"/>
            </w:pPr>
            <w:r>
              <w:t xml:space="preserve">Example Requirement</w:t>
            </w:r>
          </w:p>
        </w:tc>
        <w:tc>
          <w:tcPr/>
          <w:p>
            <w:pPr>
              <w:pStyle w:val="Compact"/>
            </w:pPr>
          </w:p>
        </w:tc>
        <w:tc>
          <w:tcPr/>
          <w:p>
            <w:pPr>
              <w:pStyle w:val="Compact"/>
            </w:pPr>
          </w:p>
        </w:tc>
      </w:tr>
    </w:tbl>
    <w:bookmarkEnd w:id="63"/>
    <w:bookmarkStart w:id="64" w:name="product-metadata-1"/>
    <w:p>
      <w:pPr>
        <w:pStyle w:val="berschrift3"/>
      </w:pPr>
      <w:r>
        <w:t xml:space="preserve">Product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product-example</w:t>
            </w:r>
          </w:p>
        </w:tc>
        <w:tc>
          <w:tcPr/>
          <w:p>
            <w:pPr>
              <w:pStyle w:val="Compact"/>
            </w:pPr>
            <w:r>
              <w:t xml:space="preserve">Example Requirement</w:t>
            </w:r>
          </w:p>
        </w:tc>
        <w:tc>
          <w:tcPr/>
          <w:p>
            <w:pPr>
              <w:pStyle w:val="Compact"/>
            </w:pPr>
          </w:p>
        </w:tc>
        <w:tc>
          <w:tcPr/>
          <w:p>
            <w:pPr>
              <w:pStyle w:val="Compact"/>
            </w:pPr>
          </w:p>
        </w:tc>
      </w:tr>
    </w:tbl>
    <w:bookmarkEnd w:id="64"/>
    <w:bookmarkStart w:id="65" w:name="per-pixel-metadata-1"/>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per-pixel-example</w:t>
            </w:r>
          </w:p>
        </w:tc>
        <w:tc>
          <w:tcPr/>
          <w:p>
            <w:pPr>
              <w:pStyle w:val="Compact"/>
            </w:pPr>
            <w:r>
              <w:t xml:space="preserve">Example Requirement</w:t>
            </w:r>
          </w:p>
        </w:tc>
        <w:tc>
          <w:tcPr/>
          <w:p>
            <w:pPr>
              <w:pStyle w:val="Compact"/>
            </w:pPr>
          </w:p>
        </w:tc>
        <w:tc>
          <w:tcPr/>
          <w:p>
            <w:pPr>
              <w:pStyle w:val="Compact"/>
            </w:pPr>
          </w:p>
        </w:tc>
      </w:tr>
    </w:tbl>
    <w:bookmarkEnd w:id="65"/>
    <w:bookmarkStart w:id="66" w:name="X28ed3ea323a9ca6f7226af18ce59e0b82f609b5"/>
    <w:p>
      <w:pPr>
        <w:pStyle w:val="berschrift3"/>
      </w:pPr>
      <w:r>
        <w:t xml:space="preserve">Radiometric and Atmospheric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corrections-example</w:t>
            </w:r>
          </w:p>
        </w:tc>
        <w:tc>
          <w:tcPr/>
          <w:p>
            <w:pPr>
              <w:pStyle w:val="Compact"/>
            </w:pPr>
            <w:r>
              <w:t xml:space="preserve">Example Requirement</w:t>
            </w:r>
          </w:p>
        </w:tc>
        <w:tc>
          <w:tcPr/>
          <w:p>
            <w:pPr>
              <w:pStyle w:val="Compact"/>
            </w:pPr>
          </w:p>
        </w:tc>
        <w:tc>
          <w:tcPr/>
          <w:p>
            <w:pPr>
              <w:pStyle w:val="Compact"/>
            </w:pPr>
          </w:p>
        </w:tc>
      </w:tr>
    </w:tbl>
    <w:bookmarkEnd w:id="66"/>
    <w:bookmarkStart w:id="67" w:name="geometric-corrections-1"/>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geometric-corrections-example</w:t>
            </w:r>
          </w:p>
        </w:tc>
        <w:tc>
          <w:tcPr/>
          <w:p>
            <w:pPr>
              <w:pStyle w:val="Compact"/>
            </w:pPr>
            <w:r>
              <w:t xml:space="preserve">Example Requirement</w:t>
            </w:r>
          </w:p>
        </w:tc>
        <w:tc>
          <w:tcPr/>
          <w:p>
            <w:pPr>
              <w:pStyle w:val="Compact"/>
            </w:pPr>
          </w:p>
        </w:tc>
        <w:tc>
          <w:tcPr/>
          <w:p>
            <w:pPr>
              <w:pStyle w:val="Compact"/>
            </w:pPr>
          </w:p>
        </w:tc>
      </w:tr>
    </w:tbl>
    <w:p>
      <w:r>
        <w:br w:type="page"/>
      </w:r>
    </w:p>
    <w:bookmarkEnd w:id="67"/>
    <w:bookmarkEnd w:id="68"/>
    <w:bookmarkStart w:id="73" w:name="references"/>
    <w:p>
      <w:pPr>
        <w:pStyle w:val="berschrift2"/>
      </w:pPr>
      <w:r>
        <w:t xml:space="preserve">References</w:t>
      </w:r>
    </w:p>
    <w:bookmarkStart w:id="72" w:name="refs"/>
    <w:bookmarkStart w:id="69"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69"/>
    <w:bookmarkStart w:id="71" w:name="ref-li2012"/>
    <w:p>
      <w:pPr>
        <w:pStyle w:val="Literaturverzeichnis"/>
      </w:pPr>
      <w:r>
        <w:t xml:space="preserve">Li, Fuqin, David L. B. Jupp, Medhavy Thankappan, Leo Lymburner, Norman Mueller, Adam Lewis, and Alex Held. 2012.</w:t>
      </w:r>
      <w:r>
        <w:t xml:space="preserve"> </w:t>
      </w:r>
      <w:r>
        <w:t xml:space="preserve">“A Physics-Based Atmospheric and BRDF Correction for Landsat Data over Mountainous Terrain.”</w:t>
      </w:r>
      <w:r>
        <w:t xml:space="preserve"> </w:t>
      </w:r>
      <w:r>
        <w:rPr>
          <w:i/>
          <w:iCs/>
        </w:rPr>
        <w:t xml:space="preserve">Remote Sensing of Environment</w:t>
      </w:r>
      <w:r>
        <w:t xml:space="preserve"> </w:t>
      </w:r>
      <w:r>
        <w:t xml:space="preserve">124: 756–70. https://doi.org/</w:t>
      </w:r>
      <w:hyperlink r:id="rId70">
        <w:r>
          <w:rPr>
            <w:rStyle w:val="Hyperlink"/>
          </w:rPr>
          <w:t xml:space="preserve">https://doi.org/10.1016/j.rse.2012.06.018</w:t>
        </w:r>
      </w:hyperlink>
      <w:r>
        <w:t xml:space="preserve">.</w:t>
      </w:r>
    </w:p>
    <w:bookmarkEnd w:id="71"/>
    <w:bookmarkEnd w:id="72"/>
    <w:bookmarkEnd w:id="73"/>
    <w:bookmarkEnd w:id="74"/>
    <w:sectPr w:rsidR="00B92216" w:rsidSect="00610FB9">
      <w:footerReference r:id="rId9" w:type="default"/>
      <w:pgSz w:code="9" w:h="16838" w:w="11906"/>
      <w:pgMar w:bottom="1080" w:footer="720" w:gutter="0" w:header="720"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0326"/>
      <w:docPartObj>
        <w:docPartGallery w:val="Page Numbers (Bottom of Page)"/>
        <w:docPartUnique/>
      </w:docPartObj>
    </w:sdtPr>
    <w:sdtContent>
      <w:p w14:paraId="462C1695" w14:textId="2E9892F1" w:rsidR="00993E42" w:rsidRDefault="00993E42" w:rsidP="00993E42">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2414F3"/>
    <w:rsid w:val="00325BB6"/>
    <w:rsid w:val="00401562"/>
    <w:rsid w:val="005264C6"/>
    <w:rsid w:val="00534ED4"/>
    <w:rsid w:val="005863B3"/>
    <w:rsid w:val="005B727A"/>
    <w:rsid w:val="005D7A20"/>
    <w:rsid w:val="005E0659"/>
    <w:rsid w:val="00610FB9"/>
    <w:rsid w:val="00631C98"/>
    <w:rsid w:val="007154AC"/>
    <w:rsid w:val="00761883"/>
    <w:rsid w:val="007C4675"/>
    <w:rsid w:val="00993E42"/>
    <w:rsid w:val="00A24F98"/>
    <w:rsid w:val="00B07C6B"/>
    <w:rsid w:val="00B46612"/>
    <w:rsid w:val="00B92216"/>
    <w:rsid w:val="00BA1D31"/>
    <w:rsid w:val="00BD04E8"/>
    <w:rsid w:val="00CF624D"/>
    <w:rsid w:val="00E56CB6"/>
    <w:rsid w:val="00E94ABB"/>
    <w:rsid w:val="00F076E9"/>
    <w:rsid w:val="00F17E8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70" Target="https://doi.org/10.1016/j.rse.2012.06.018"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70" Target="https://doi.org/10.1016/j.rse.2012.06.018"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Surface Reflectance</dc:title>
  <dc:creator/>
  <dc:language>en</dc:language>
  <cp:keywords/>
  <dcterms:created xsi:type="dcterms:W3CDTF">2025-03-23T23:12:19Z</dcterms:created>
  <dcterms:modified xsi:type="dcterms:W3CDTF">2025-03-23T23:12:19Z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