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0" w:name="ceos-ard---optical---surface-reflectance"/>
    <w:p>
      <w:pPr>
        <w:pStyle w:val="berschrift1"/>
      </w:pPr>
      <w:r>
        <w:t xml:space="preserve">CEOS-ARD - Optical - Surface Reflectance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Reflectance (SR)</w:t>
      </w:r>
    </w:p>
    <w:p>
      <w:pPr>
        <w:pStyle w:val="Textkrper"/>
      </w:pPr>
      <w:r>
        <w:rPr>
          <w:b/>
          <w:bCs/>
        </w:rPr>
        <w:t xml:space="preserve">Applies to:</w:t>
      </w:r>
      <w:r>
        <w:t xml:space="preserve"> </w:t>
      </w:r>
      <w:r>
        <w:t xml:space="preserve">Data collected with multispectral optical sensors operating in the VIS/NIR/SWIR wavelengths at all ground sample distances and resolutions.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pPr>
        <w:pStyle w:val="Compact"/>
        <w:numPr>
          <w:ilvl w:val="0"/>
          <w:numId w:val="1001"/>
        </w:numPr>
      </w:pPr>
      <w:r>
        <w:t xml:space="preserve">LSI-VC Secretariat</w:t>
      </w:r>
    </w:p>
    <w:p>
      <w:pPr>
        <w:pStyle w:val="Compact"/>
        <w:numPr>
          <w:ilvl w:val="1"/>
          <w:numId w:val="1004"/>
        </w:numPr>
      </w:pPr>
      <w:r>
        <w:t xml:space="preserve">Matt Steventon</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3" w:name="requirements"/>
    <w:p>
      <w:pPr>
        <w:pStyle w:val="berschrift2"/>
      </w:pPr>
      <w:r>
        <w:t xml:space="preserve">Requirements</w:t>
      </w:r>
    </w:p>
    <w:bookmarkStart w:id="39"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Target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37"/>
    <w:bookmarkEnd w:id="38"/>
    <w:bookmarkEnd w:id="39"/>
    <w:bookmarkStart w:id="44"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 depending on the ARD product.</w:t>
      </w:r>
    </w:p>
    <w:bookmarkStart w:id="43" w:name="sec:source-metadata-time"/>
    <w:p>
      <w:pPr>
        <w:pStyle w:val="berschrift4"/>
      </w:pPr>
      <w:r>
        <w:t xml:space="preserve">Data Collection Time (</w:t>
      </w:r>
      <w:r>
        <w:rPr>
          <w:rStyle w:val="VerbatimChar"/>
        </w:rPr>
        <w:t xml:space="preserve">source-metadata-time</w:t>
      </w:r>
      <w:r>
        <w:t xml:space="preserve">)</w:t>
      </w:r>
    </w:p>
    <w:bookmarkStart w:id="40"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0"/>
    <w:bookmarkStart w:id="41" w:name="threshold-requirements-1"/>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1"/>
    <w:bookmarkStart w:id="42" w:name="assessment-2"/>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2"/>
    <w:bookmarkEnd w:id="43"/>
    <w:bookmarkEnd w:id="44"/>
    <w:bookmarkStart w:id="48"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7" w:name="Xbe6b6ac6adba9727020008c1b66b6ff32075636"/>
    <w:p>
      <w:pPr>
        <w:pStyle w:val="berschrift4"/>
      </w:pPr>
      <w:r>
        <w:t xml:space="preserve">Geometric Correction Algorithm (</w:t>
      </w:r>
      <w:r>
        <w:rPr>
          <w:rStyle w:val="VerbatimChar"/>
        </w:rPr>
        <w:t xml:space="preserve">product-metadata-geometric-correction-algorithm</w:t>
      </w:r>
      <w:r>
        <w:t xml:space="preserve">)</w:t>
      </w:r>
    </w:p>
    <w:bookmarkStart w:id="45" w:name="goal-requirements-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10"/>
        </w:numPr>
      </w:pPr>
      <w:r>
        <w:t xml:space="preserve">Examples of technical documentation can include e.g., an Algorithm Theoretical Basis Document (ATBD) or a product user guide.</w:t>
      </w:r>
    </w:p>
    <w:bookmarkEnd w:id="45"/>
    <w:bookmarkStart w:id="46" w:name="assessment-3"/>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6"/>
    <w:bookmarkEnd w:id="47"/>
    <w:bookmarkEnd w:id="48"/>
    <w:bookmarkStart w:id="53"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2" w:name="sec:per-pixel-example"/>
    <w:p>
      <w:pPr>
        <w:pStyle w:val="berschrift4"/>
      </w:pPr>
      <w:r>
        <w:t xml:space="preserve">Example Requirement (</w:t>
      </w:r>
      <w:r>
        <w:rPr>
          <w:rStyle w:val="VerbatimChar"/>
        </w:rPr>
        <w:t xml:space="preserve">per-pixel-example</w:t>
      </w:r>
      <w:r>
        <w:t xml:space="preserve">)</w:t>
      </w:r>
    </w:p>
    <w:p>
      <w:pPr>
        <w:pStyle w:val="FirstParagraph"/>
      </w:pPr>
      <w:r>
        <w:t xml:space="preserve">This is an example requirement.</w:t>
      </w:r>
    </w:p>
    <w:bookmarkStart w:id="49" w:name="goal-requirements-4"/>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9"/>
    <w:bookmarkStart w:id="50" w:name="threshold-requirements-2"/>
    <w:p>
      <w:pPr>
        <w:pStyle w:val="berschrift5"/>
      </w:pPr>
      <w:r>
        <w:t xml:space="preserve">Threshold requirements:</w:t>
      </w:r>
    </w:p>
    <w:p>
      <w:pPr>
        <w:pStyle w:val="FirstParagraph"/>
      </w:pPr>
      <w:r>
        <w:t xml:space="preserve">This is a threshold requirement.</w:t>
      </w:r>
    </w:p>
    <w:bookmarkEnd w:id="50"/>
    <w:bookmarkStart w:id="51" w:name="assessment-4"/>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51"/>
    <w:bookmarkEnd w:id="52"/>
    <w:bookmarkEnd w:id="53"/>
    <w:bookmarkStart w:id="57"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6" w:name="sec:corrections-measurements-uncertainty"/>
    <w:p>
      <w:pPr>
        <w:pStyle w:val="berschrift4"/>
      </w:pPr>
      <w:r>
        <w:t xml:space="preserve">Measurement Uncertainty (</w:t>
      </w:r>
      <w:r>
        <w:rPr>
          <w:rStyle w:val="VerbatimChar"/>
        </w:rPr>
        <w:t xml:space="preserve">corrections-measurements-uncertainty</w:t>
      </w:r>
      <w:r>
        <w:t xml:space="preserve">)</w:t>
      </w:r>
    </w:p>
    <w:p>
      <w:pPr>
        <w:pStyle w:val="FirstParagraph"/>
      </w:pPr>
      <w:r>
        <w:t xml:space="preserve">Note: In current practice, users determine fitness for purpose based on knowledge of the lineage of the data, rather than on a specific estimate of measurement uncertainty.</w:t>
      </w:r>
    </w:p>
    <w:bookmarkStart w:id="54" w:name="goal-requirements-5"/>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4"/>
        </w:numPr>
      </w:pPr>
      <w:r>
        <w:t xml:space="preserve">This is a requirement for SI traceability. See also Section </w:t>
      </w:r>
      <w:r>
        <w:t xml:space="preserve">“</w:t>
      </w:r>
      <w:hyperlink w:anchor="sec:general-metadata-traceability">
        <w:r>
          <w:rPr>
            <w:rStyle w:val="Hyperlink"/>
          </w:rPr>
          <w:t xml:space="preserve">general-metadata-traceability</w:t>
        </w:r>
      </w:hyperlink>
      <w:r>
        <w:t xml:space="preserve">”</w:t>
      </w:r>
      <w:r>
        <w:t xml:space="preserve">.</w:t>
      </w:r>
    </w:p>
    <w:p>
      <w:pPr>
        <w:pStyle w:val="Compact"/>
        <w:numPr>
          <w:ilvl w:val="0"/>
          <w:numId w:val="1014"/>
        </w:numPr>
      </w:pPr>
      <w:r>
        <w:t xml:space="preserve">Information on measurement uncertainty should be available in the metadata as a single DOI landing page.</w:t>
      </w:r>
    </w:p>
    <w:bookmarkEnd w:id="54"/>
    <w:bookmarkStart w:id="55" w:name="assessment-5"/>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5"/>
    <w:bookmarkEnd w:id="56"/>
    <w:bookmarkEnd w:id="57"/>
    <w:bookmarkStart w:id="62"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1" w:name="X2f60f90e3cce2f67192c6417e575175e5cb086d"/>
    <w:p>
      <w:pPr>
        <w:pStyle w:val="berschrift4"/>
      </w:pPr>
      <w:r>
        <w:t xml:space="preserve">Geometric Corrections (</w:t>
      </w:r>
      <w:r>
        <w:rPr>
          <w:rStyle w:val="VerbatimChar"/>
        </w:rPr>
        <w:t xml:space="preserve">geometric-corrections-corrections-geometric-corrections</w:t>
      </w:r>
      <w:r>
        <w:t xml:space="preserve">)</w:t>
      </w:r>
    </w:p>
    <w:bookmarkStart w:id="58" w:name="goal-requirements-6"/>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1.8 and 1.9.</w:t>
      </w:r>
    </w:p>
    <w:p>
      <w:pPr>
        <w:pStyle w:val="Textkrper"/>
      </w:pPr>
      <w:r>
        <w:t xml:space="preserve">Notes:</w:t>
      </w:r>
    </w:p>
    <w:p>
      <w:pPr>
        <w:pStyle w:val="Compact"/>
        <w:numPr>
          <w:ilvl w:val="0"/>
          <w:numId w:val="1016"/>
        </w:numPr>
      </w:pPr>
      <w:r>
        <w:t xml:space="preserve">This requirement is intended to enable interoperability between imagery from different platforms that meet this level of correction and with non-image spatial data such as GIS layers and terrain models.</w:t>
      </w:r>
    </w:p>
    <w:bookmarkEnd w:id="58"/>
    <w:bookmarkStart w:id="59" w:name="threshold-requirements-3"/>
    <w:p>
      <w:pPr>
        <w:pStyle w:val="berschrift5"/>
      </w:pPr>
      <w:r>
        <w:t xml:space="preserve">Threshold requirements:</w:t>
      </w:r>
    </w:p>
    <w:p>
      <w:pPr>
        <w:pStyle w:val="FirstParagraph"/>
      </w:pPr>
      <w:r>
        <w:t xml:space="preserve">Sub-pixel accuracy is achieved in relative geolocation, that is, the pixels from the same instrument and platform are consistently located, and thus, comparable through time.</w:t>
      </w:r>
    </w:p>
    <w:p>
      <w:pPr>
        <w:pStyle w:val="Textkrper"/>
      </w:pPr>
      <w:r>
        <w:t xml:space="preserve">Sub-pixel accuracy is taken to be less than or equal to 0.5-pixel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item 1.8 and 1.9.</w:t>
      </w:r>
    </w:p>
    <w:p>
      <w:pPr>
        <w:pStyle w:val="Textkrper"/>
      </w:pPr>
      <w:r>
        <w:t xml:space="preserve">Notes:</w:t>
      </w:r>
    </w:p>
    <w:p>
      <w:pPr>
        <w:pStyle w:val="Compact"/>
        <w:numPr>
          <w:ilvl w:val="0"/>
          <w:numId w:val="1017"/>
        </w:numPr>
      </w:pPr>
      <w:r>
        <w:t xml:space="preserve">The threshold level will not necessarily enable interoperability between data from</w:t>
      </w:r>
      <w:r>
        <w:t xml:space="preserve"> </w:t>
      </w:r>
      <w:r>
        <w:rPr>
          <w:i/>
          <w:iCs/>
        </w:rPr>
        <w:t xml:space="preserve">different</w:t>
      </w:r>
      <w:r>
        <w:t xml:space="preserve"> </w:t>
      </w:r>
      <w:r>
        <w:t xml:space="preserve">sources as the geometric corrections for each of the sources may differ.</w:t>
      </w:r>
    </w:p>
    <w:bookmarkEnd w:id="59"/>
    <w:bookmarkStart w:id="60" w:name="assessment-6"/>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Target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br w:type="page"/>
      </w:r>
    </w:p>
    <w:bookmarkEnd w:id="60"/>
    <w:bookmarkEnd w:id="61"/>
    <w:bookmarkEnd w:id="62"/>
    <w:bookmarkEnd w:id="63"/>
    <w:bookmarkStart w:id="64" w:name="summary-self-assessment-table"/>
    <w:p>
      <w:pPr>
        <w:pStyle w:val="berschrift2"/>
      </w:pPr>
      <w:r>
        <w:t xml:space="preserve">Summary Self-Assessment Table</w:t>
      </w:r>
    </w:p>
    <w:tbl>
      <w:tblPr>
        <w:tblStyle w:val="Table"/>
        <w:tblW w:type="pct" w:w="5000"/>
        <w:tblLayout w:type="fixed"/>
        <w:tblLook w:firstRow="1" w:lastRow="0" w:firstColumn="0" w:lastColumn="0" w:noHBand="0" w:noVBand="0" w:val="0020"/>
      </w:tblPr>
      <w:tblGrid>
        <w:gridCol w:w="3630"/>
        <w:gridCol w:w="2970"/>
        <w:gridCol w:w="1320"/>
      </w:tblGrid>
      <w:tr>
        <w:trPr>
          <w:tblHeader w:val="on"/>
        </w:trPr>
        <w:tc>
          <w:tcPr/>
          <w:p>
            <w:pPr>
              <w:pStyle w:val="Compact"/>
            </w:pPr>
            <w:r>
              <w:t xml:space="preserve">Requirement</w:t>
            </w:r>
          </w:p>
        </w:tc>
        <w:tc>
          <w:tcPr/>
          <w:p>
            <w:pPr>
              <w:pStyle w:val="Compact"/>
              <w:jc w:val="center"/>
            </w:pPr>
            <w:r>
              <w:t xml:space="preserve">Threshold</w:t>
            </w:r>
          </w:p>
        </w:tc>
        <w:tc>
          <w:tcPr/>
          <w:p>
            <w:pPr>
              <w:pStyle w:val="Compact"/>
              <w:jc w:val="center"/>
            </w:pPr>
            <w:r>
              <w:t xml:space="preserve">Goal</w:t>
            </w:r>
          </w:p>
        </w:tc>
      </w:tr>
      <w:tr>
        <w:tc>
          <w:tcPr/>
          <w:p>
            <w:pPr>
              <w:pStyle w:val="Compact"/>
            </w:pPr>
            <w:r>
              <w:rPr>
                <w:b/>
                <w:bCs/>
              </w:rPr>
              <w:t xml:space="preserve">General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Traceability (</w:t>
            </w:r>
            <w:r>
              <w:rPr>
                <w:rStyle w:val="VerbatimChar"/>
              </w:rPr>
              <w:t xml:space="preserve">general-metadata-traceability</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Metadata Machine Readability (</w:t>
            </w:r>
            <w:r>
              <w:rPr>
                <w:rStyle w:val="VerbatimChar"/>
              </w:rPr>
              <w:t xml:space="preserve">general-metadata-machine-readability</w:t>
            </w:r>
            <w:r>
              <w:t xml:space="preserve">)</w:t>
            </w:r>
          </w:p>
        </w:tc>
        <w:tc>
          <w:tcPr/>
          <w:p>
            <w:pPr>
              <w:pStyle w:val="Compact"/>
            </w:pPr>
          </w:p>
        </w:tc>
        <w:tc>
          <w:tcPr/>
          <w:p>
            <w:pPr>
              <w:pStyle w:val="Compact"/>
            </w:pPr>
          </w:p>
        </w:tc>
      </w:tr>
      <w:tr>
        <w:tc>
          <w:tcPr/>
          <w:p>
            <w:pPr>
              <w:pStyle w:val="Compact"/>
            </w:pPr>
            <w:r>
              <w:rPr>
                <w:b/>
                <w:bCs/>
              </w:rPr>
              <w:t xml:space="preserve">Source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Data Collection Time (</w:t>
            </w:r>
            <w:r>
              <w:rPr>
                <w:rStyle w:val="VerbatimChar"/>
              </w:rPr>
              <w:t xml:space="preserve">source-metadata-time</w:t>
            </w:r>
            <w:r>
              <w:t xml:space="preserve">)</w:t>
            </w:r>
          </w:p>
        </w:tc>
        <w:tc>
          <w:tcPr/>
          <w:p>
            <w:pPr>
              <w:pStyle w:val="Compact"/>
            </w:pPr>
          </w:p>
        </w:tc>
        <w:tc>
          <w:tcPr/>
          <w:p>
            <w:pPr>
              <w:pStyle w:val="Compact"/>
            </w:pPr>
          </w:p>
        </w:tc>
      </w:tr>
      <w:tr>
        <w:tc>
          <w:tcPr/>
          <w:p>
            <w:pPr>
              <w:pStyle w:val="Compact"/>
            </w:pPr>
            <w:r>
              <w:rPr>
                <w:b/>
                <w:bCs/>
              </w:rPr>
              <w:t xml:space="preserve">Product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Geometric Correction Algorithm (</w:t>
            </w:r>
            <w:r>
              <w:rPr>
                <w:rStyle w:val="VerbatimChar"/>
              </w:rPr>
              <w:t xml:space="preserve">product-metadata-geometric-correction-algorithm</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Per-Pixel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Example Requirement (</w:t>
            </w:r>
            <w:r>
              <w:rPr>
                <w:rStyle w:val="VerbatimChar"/>
              </w:rPr>
              <w:t xml:space="preserve">per-pixel-example</w:t>
            </w:r>
            <w:r>
              <w:t xml:space="preserve">)</w:t>
            </w:r>
          </w:p>
        </w:tc>
        <w:tc>
          <w:tcPr/>
          <w:p>
            <w:pPr>
              <w:pStyle w:val="Compact"/>
            </w:pPr>
          </w:p>
        </w:tc>
        <w:tc>
          <w:tcPr/>
          <w:p>
            <w:pPr>
              <w:pStyle w:val="Compact"/>
            </w:pPr>
          </w:p>
        </w:tc>
      </w:tr>
      <w:tr>
        <w:tc>
          <w:tcPr/>
          <w:p>
            <w:pPr>
              <w:pStyle w:val="Compact"/>
            </w:pPr>
            <w:r>
              <w:rPr>
                <w:b/>
                <w:bCs/>
              </w:rPr>
              <w:t xml:space="preserve">Radiometric and Atmospheric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Measurement Uncertainty (</w:t>
            </w:r>
            <w:r>
              <w:rPr>
                <w:rStyle w:val="VerbatimChar"/>
              </w:rPr>
              <w:t xml:space="preserve">corrections-measurements-uncertainty</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Geometric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Geometric Corrections (</w:t>
            </w:r>
            <w:r>
              <w:rPr>
                <w:rStyle w:val="VerbatimChar"/>
              </w:rPr>
              <w:t xml:space="preserve">geometric-corrections-corrections-geometric-corrections</w:t>
            </w:r>
            <w:r>
              <w:t xml:space="preserve">)</w:t>
            </w:r>
          </w:p>
        </w:tc>
        <w:tc>
          <w:tcPr/>
          <w:p>
            <w:pPr>
              <w:pStyle w:val="Compact"/>
            </w:pPr>
          </w:p>
        </w:tc>
        <w:tc>
          <w:tcPr/>
          <w:p>
            <w:pPr>
              <w:pStyle w:val="Compact"/>
            </w:pPr>
          </w:p>
        </w:tc>
      </w:tr>
    </w:tbl>
    <w:p>
      <w:r>
        <w:br w:type="page"/>
      </w:r>
    </w:p>
    <w:bookmarkEnd w:id="64"/>
    <w:bookmarkStart w:id="69" w:name="references"/>
    <w:p>
      <w:pPr>
        <w:pStyle w:val="berschrift2"/>
      </w:pPr>
      <w:r>
        <w:t xml:space="preserve">References</w:t>
      </w:r>
    </w:p>
    <w:bookmarkStart w:id="68" w:name="refs"/>
    <w:bookmarkStart w:id="65"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65"/>
    <w:bookmarkStart w:id="67"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66">
        <w:r>
          <w:rPr>
            <w:rStyle w:val="Hyperlink"/>
          </w:rPr>
          <w:t xml:space="preserve">https://doi.org/10.1016/j.rse.2012.06.018</w:t>
        </w:r>
      </w:hyperlink>
      <w:r>
        <w:t xml:space="preserve">.</w:t>
      </w:r>
    </w:p>
    <w:bookmarkEnd w:id="67"/>
    <w:bookmarkEnd w:id="68"/>
    <w:bookmarkEnd w:id="69"/>
    <w:bookmarkEnd w:id="70"/>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6" Target="https://doi.org/10.1016/j.rse.2012.06.018"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6" Target="https://doi.org/10.1016/j.rse.2012.06.018"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dc:title>
  <dc:creator/>
  <dc:language>en</dc:language>
  <cp:keywords/>
  <dcterms:created xsi:type="dcterms:W3CDTF">2025-03-02T16:31:40Z</dcterms:created>
  <dcterms:modified xsi:type="dcterms:W3CDTF">2025-03-02T16:31:40Z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