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76" w:name="Xce600f72cb23def82478a30d868cf03fbc410f5"/>
    <w:p>
      <w:pPr>
        <w:pStyle w:val="berschrift1"/>
      </w:pPr>
      <w:r>
        <w:t xml:space="preserve">CEOS-ARD - Optical - Nighttime Light Surface Radiance</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Optical, Nighttime Light Surface Radiance (NLSR)</w:t>
      </w:r>
    </w:p>
    <w:p>
      <w:pPr>
        <w:pStyle w:val="Textkrper"/>
      </w:pPr>
      <w:r>
        <w:rPr>
          <w:b/>
          <w:bCs/>
        </w:rPr>
        <w:t xml:space="preserve">Applies to:</w:t>
      </w:r>
      <w:r>
        <w:t xml:space="preserve"> </w:t>
      </w:r>
      <w:r>
        <w:t xml:space="preserve">Data collected with nighttime light sensors operating in the VIS/NIR wavelengths.</w:t>
      </w:r>
      <w:r>
        <w:t xml:space="preserve"> </w:t>
      </w:r>
      <w:r>
        <w:t xml:space="preserve">These typically operate with ground sample distance and resolution in the order of 10-1000m;</w:t>
      </w:r>
      <w:r>
        <w:t xml:space="preserve"> </w:t>
      </w:r>
      <w:r>
        <w:t xml:space="preserve">however, the Specification is not inherently limited to this resolution.</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NASA, USA</w:t>
      </w:r>
    </w:p>
    <w:p>
      <w:pPr>
        <w:pStyle w:val="Compact"/>
        <w:numPr>
          <w:ilvl w:val="1"/>
          <w:numId w:val="1002"/>
        </w:numPr>
      </w:pPr>
      <w:r>
        <w:t xml:space="preserve">Brian Killough</w:t>
      </w:r>
    </w:p>
    <w:p>
      <w:pPr>
        <w:pStyle w:val="Compact"/>
        <w:numPr>
          <w:ilvl w:val="1"/>
          <w:numId w:val="1002"/>
        </w:numPr>
      </w:pPr>
      <w:r>
        <w:t xml:space="preserve">Bhaskar Ramachandran</w:t>
      </w:r>
    </w:p>
    <w:p>
      <w:pPr>
        <w:pStyle w:val="Compact"/>
        <w:numPr>
          <w:ilvl w:val="0"/>
          <w:numId w:val="1001"/>
        </w:numPr>
      </w:pPr>
      <w:r>
        <w:t xml:space="preserve">Leidos Inc., USA</w:t>
      </w:r>
    </w:p>
    <w:p>
      <w:pPr>
        <w:pStyle w:val="Compact"/>
        <w:numPr>
          <w:ilvl w:val="1"/>
          <w:numId w:val="1003"/>
        </w:numPr>
      </w:pPr>
      <w:r>
        <w:t xml:space="preserve">Miguel Román</w:t>
      </w:r>
    </w:p>
    <w:p>
      <w:pPr>
        <w:pStyle w:val="Compact"/>
        <w:numPr>
          <w:ilvl w:val="0"/>
          <w:numId w:val="1001"/>
        </w:numPr>
      </w:pPr>
      <w:r>
        <w:t xml:space="preserve">University of Maryland, USA</w:t>
      </w:r>
    </w:p>
    <w:p>
      <w:pPr>
        <w:pStyle w:val="Compact"/>
        <w:numPr>
          <w:ilvl w:val="1"/>
          <w:numId w:val="1004"/>
        </w:numPr>
      </w:pPr>
      <w:r>
        <w:t xml:space="preserve">Zhuosen Wang</w:t>
      </w:r>
    </w:p>
    <w:p>
      <w:r>
        <w:br w:type="page"/>
      </w:r>
    </w:p>
    <w:bookmarkEnd w:id="24"/>
    <w:bookmarkStart w:id="25" w:name="glossary"/>
    <w:p>
      <w:pPr>
        <w:pStyle w:val="berschrift2"/>
      </w:pPr>
      <w:r>
        <w:t xml:space="preserve">Glossary</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DOI</w:t>
      </w:r>
    </w:p>
    <w:p>
      <w:pPr>
        <w:pStyle w:val="Definition"/>
      </w:pPr>
      <w:r>
        <w:t xml:space="preserve">Digital Object Identifier</w:t>
      </w:r>
    </w:p>
    <w:p>
      <w:pPr>
        <w:pStyle w:val="DefinitionTerm"/>
      </w:pPr>
      <w:r>
        <w:t xml:space="preserve">GIS</w:t>
      </w:r>
    </w:p>
    <w:p>
      <w:pPr>
        <w:pStyle w:val="Definition"/>
      </w:pPr>
      <w:r>
        <w:t xml:space="preserve">Geographic Information System</w:t>
      </w:r>
    </w:p>
    <w:p>
      <w:pPr>
        <w:pStyle w:val="DefinitionTerm"/>
      </w:pPr>
      <w:r>
        <w:t xml:space="preserve">NIR</w:t>
      </w:r>
    </w:p>
    <w:p>
      <w:pPr>
        <w:pStyle w:val="Definition"/>
      </w:pPr>
      <w:r>
        <w:t xml:space="preserve">Near Infrared</w:t>
      </w:r>
    </w:p>
    <w:p>
      <w:pPr>
        <w:pStyle w:val="DefinitionTerm"/>
      </w:pPr>
      <w:r>
        <w:t xml:space="preserve">NLSR</w:t>
      </w:r>
    </w:p>
    <w:p>
      <w:pPr>
        <w:pStyle w:val="Definition"/>
      </w:pPr>
      <w:r>
        <w:t xml:space="preserve">Nighttime Light Surface Radiance</w:t>
      </w:r>
    </w:p>
    <w:p>
      <w:pPr>
        <w:pStyle w:val="DefinitionTerm"/>
      </w:pPr>
      <w:r>
        <w:t xml:space="preserve">SI</w:t>
      </w:r>
    </w:p>
    <w:p>
      <w:pPr>
        <w:pStyle w:val="Definition"/>
      </w:pPr>
      <w:r>
        <w:t xml:space="preserve">International System of Units</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VIS</w:t>
      </w:r>
    </w:p>
    <w:p>
      <w:pPr>
        <w:pStyle w:val="Definition"/>
      </w:pPr>
      <w:r>
        <w:t xml:space="preserve">Visible</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05"/>
        </w:numPr>
      </w:pPr>
      <w:r>
        <w:t xml:space="preserve">that product has been assessed as meeting CEOS-ARD requirements by the agency or other entities responsible for production and distribution of the product, and</w:t>
      </w:r>
    </w:p>
    <w:p>
      <w:pPr>
        <w:pStyle w:val="Compact"/>
        <w:numPr>
          <w:ilvl w:val="0"/>
          <w:numId w:val="1005"/>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63" w:name="requirements"/>
    <w:p>
      <w:pPr>
        <w:pStyle w:val="berschrift2"/>
      </w:pPr>
      <w:r>
        <w:t xml:space="preserve">Requirements</w:t>
      </w:r>
    </w:p>
    <w:bookmarkStart w:id="39" w:name="general-metadata"/>
    <w:p>
      <w:pPr>
        <w:pStyle w:val="berschrift3"/>
      </w:pP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general-metadata-traceability"/>
    <w:p>
      <w:pPr>
        <w:pStyle w:val="berschrift4"/>
      </w:pPr>
      <w:r>
        <w:t xml:space="preserve">Traceability (</w:t>
      </w:r>
      <w:r>
        <w:rPr>
          <w:rStyle w:val="VerbatimChar"/>
        </w:rPr>
        <w:t xml:space="preserve">general-metadata-traceability</w:t>
      </w:r>
      <w:r>
        <w:t xml:space="preserve">)</w:t>
      </w:r>
    </w:p>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6"/>
        </w:numPr>
      </w:pPr>
      <w:r>
        <w:t xml:space="preserve">Relationship to</w:t>
      </w:r>
      <w:r>
        <w:t xml:space="preserve"> </w:t>
      </w:r>
      <w:r>
        <w:t xml:space="preserve">(</w:t>
      </w:r>
      <w:hyperlink w:anchor="ref-measurements/uncertainty">
        <w:r>
          <w:rPr>
            <w:rStyle w:val="Hyperlink"/>
            <w:b/>
            <w:bCs/>
          </w:rPr>
          <w:t xml:space="preserve">measurements/uncertainty?</w:t>
        </w:r>
      </w:hyperlink>
      <w:r>
        <w:t xml:space="preserve">)</w:t>
      </w:r>
      <w:r>
        <w:t xml:space="preserve"> </w:t>
      </w:r>
      <w:r>
        <w:t xml:space="preserve">or item 3.5 (SAR).</w:t>
      </w:r>
      <w:r>
        <w:t xml:space="preserve"> </w:t>
      </w:r>
      <w:r>
        <w:t xml:space="preserve">Traceability requires an estimate of measurement uncertainty.</w:t>
      </w:r>
    </w:p>
    <w:p>
      <w:pPr>
        <w:pStyle w:val="Compact"/>
        <w:numPr>
          <w:ilvl w:val="0"/>
          <w:numId w:val="1006"/>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Target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33"/>
    <w:bookmarkEnd w:id="34"/>
    <w:bookmarkStart w:id="38" w:name="sec:general-metadata-machine-readability"/>
    <w:p>
      <w:pPr>
        <w:pStyle w:val="berschrift4"/>
      </w:pPr>
      <w:r>
        <w:t xml:space="preserve">Metadata Machine Readability (</w:t>
      </w:r>
      <w:r>
        <w:rPr>
          <w:rStyle w:val="VerbatimChar"/>
        </w:rPr>
        <w:t xml:space="preserve">general-metadata-machine-readability</w:t>
      </w:r>
      <w:r>
        <w:t xml:space="preserve">)</w:t>
      </w:r>
    </w:p>
    <w:bookmarkStart w:id="35" w:name="goal-requirements-1"/>
    <w:p>
      <w:pPr>
        <w:pStyle w:val="berschrift5"/>
      </w:pPr>
      <w:r>
        <w:t xml:space="preserve">Goal requirements:</w:t>
      </w:r>
    </w:p>
    <w:p>
      <w:pPr>
        <w:pStyle w:val="FirstParagraph"/>
      </w:pPr>
      <w:r>
        <w:t xml:space="preserve">As threshold, but metadata should be provided in a community endorsed standard that facilitates machine-readability, such as ISO 19115-2.</w:t>
      </w:r>
    </w:p>
    <w:bookmarkEnd w:id="35"/>
    <w:bookmarkStart w:id="36" w:name="threshold-requirements"/>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36"/>
    <w:bookmarkStart w:id="37" w:name="assessment-1"/>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Target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bookmarkEnd w:id="37"/>
    <w:bookmarkEnd w:id="38"/>
    <w:bookmarkEnd w:id="39"/>
    <w:bookmarkStart w:id="44" w:name="source-metadata"/>
    <w:p>
      <w:pPr>
        <w:pStyle w:val="berschrift3"/>
      </w:pP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 depending on the ARD product.</w:t>
      </w:r>
    </w:p>
    <w:bookmarkStart w:id="43" w:name="sec:source-metadata-time"/>
    <w:p>
      <w:pPr>
        <w:pStyle w:val="berschrift4"/>
      </w:pPr>
      <w:r>
        <w:t xml:space="preserve">Data Collection Time (</w:t>
      </w:r>
      <w:r>
        <w:rPr>
          <w:rStyle w:val="VerbatimChar"/>
        </w:rPr>
        <w:t xml:space="preserve">source-metadata-time</w:t>
      </w:r>
      <w:r>
        <w:t xml:space="preserve">)</w:t>
      </w:r>
    </w:p>
    <w:bookmarkStart w:id="40" w:name="goal-requirements-2"/>
    <w:p>
      <w:pPr>
        <w:pStyle w:val="berschrift5"/>
      </w:pPr>
      <w:r>
        <w:t xml:space="preserve">Goal requirements:</w:t>
      </w:r>
    </w:p>
    <w:p>
      <w:pPr>
        <w:pStyle w:val="FirstParagraph"/>
      </w:pPr>
      <w:r>
        <w:t xml:space="preserve">Acquisition time for each pixel is identified (or can be reliably determined) in the metadata, expressed in date/time at UTC, to the second.</w:t>
      </w:r>
    </w:p>
    <w:bookmarkEnd w:id="40"/>
    <w:bookmarkStart w:id="41" w:name="threshold-requirements-1"/>
    <w:p>
      <w:pPr>
        <w:pStyle w:val="berschrift5"/>
      </w:pPr>
      <w:r>
        <w:t xml:space="preserve">Threshold requirements:</w:t>
      </w:r>
    </w:p>
    <w:p>
      <w:pPr>
        <w:pStyle w:val="FirstParagraph"/>
      </w:pPr>
      <w:r>
        <w:t xml:space="preserve">The data collection time is identified in the metadata, expressed in date/time, to the second, with the time offset from UTC unambiguously identified.</w:t>
      </w:r>
    </w:p>
    <w:bookmarkEnd w:id="41"/>
    <w:bookmarkStart w:id="42" w:name="assessment-2"/>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Target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bookmarkEnd w:id="42"/>
    <w:bookmarkEnd w:id="43"/>
    <w:bookmarkEnd w:id="44"/>
    <w:bookmarkStart w:id="48" w:name="product-metadata"/>
    <w:p>
      <w:pPr>
        <w:pStyle w:val="berschrift3"/>
      </w:pPr>
      <w:r>
        <w:t xml:space="preserve">Product Metadata</w:t>
      </w:r>
    </w:p>
    <w:p>
      <w:pPr>
        <w:pStyle w:val="FirstParagraph"/>
      </w:pPr>
      <w:r>
        <w:t xml:space="preserve">Information related to the CEOS-ARD product generation procedure and geographic parameters.</w:t>
      </w:r>
    </w:p>
    <w:bookmarkStart w:id="47" w:name="Xbe6b6ac6adba9727020008c1b66b6ff32075636"/>
    <w:p>
      <w:pPr>
        <w:pStyle w:val="berschrift4"/>
      </w:pPr>
      <w:r>
        <w:t xml:space="preserve">Geometric Correction Algorithm (</w:t>
      </w:r>
      <w:r>
        <w:rPr>
          <w:rStyle w:val="VerbatimChar"/>
        </w:rPr>
        <w:t xml:space="preserve">product-metadata-geometric-correction-algorithm</w:t>
      </w:r>
      <w:r>
        <w:t xml:space="preserve">)</w:t>
      </w:r>
    </w:p>
    <w:bookmarkStart w:id="45" w:name="goal-requirements-3"/>
    <w:p>
      <w:pPr>
        <w:pStyle w:val="berschrift5"/>
      </w:pPr>
      <w:r>
        <w:t xml:space="preserve">Goal requirements:</w:t>
      </w:r>
    </w:p>
    <w:p>
      <w:pPr>
        <w:pStyle w:val="FirstParagraph"/>
      </w:pPr>
      <w:r>
        <w:t xml:space="preserve">Metadata references, e.g.:</w:t>
      </w:r>
      <w:r>
        <w:t xml:space="preserve"> </w:t>
      </w:r>
      <w:r>
        <w:t xml:space="preserve">- A metadata citable peer-reviewed algorithm,</w:t>
      </w:r>
      <w:r>
        <w:t xml:space="preserve"> </w:t>
      </w:r>
      <w:r>
        <w:t xml:space="preserve">- Technical documentation regarding the implementation of that algorithm expressed as URLs or DOIs</w:t>
      </w:r>
      <w:r>
        <w:t xml:space="preserve"> </w:t>
      </w:r>
      <w:r>
        <w:t xml:space="preserve">- The sources of auxiliary data used to make corrections such as elevation model(s) and reference chip-sets.</w:t>
      </w:r>
      <w:r>
        <w:t xml:space="preserve"> </w:t>
      </w:r>
      <w:r>
        <w:t xml:space="preserve">- Resampling method used for geometric processing of the source data.</w:t>
      </w:r>
    </w:p>
    <w:p>
      <w:pPr>
        <w:pStyle w:val="Textkrper"/>
      </w:pPr>
      <w:r>
        <w:t xml:space="preserve">Notes:</w:t>
      </w:r>
    </w:p>
    <w:p>
      <w:pPr>
        <w:pStyle w:val="Compact"/>
        <w:numPr>
          <w:ilvl w:val="0"/>
          <w:numId w:val="1010"/>
        </w:numPr>
      </w:pPr>
      <w:r>
        <w:t xml:space="preserve">Examples of technical documentation can include e.g., an Algorithm Theoretical Basis Document (ATBD) or a product user guide.</w:t>
      </w:r>
    </w:p>
    <w:bookmarkEnd w:id="45"/>
    <w:bookmarkStart w:id="46" w:name="assessment-3"/>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Target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bookmarkEnd w:id="46"/>
    <w:bookmarkEnd w:id="47"/>
    <w:bookmarkEnd w:id="48"/>
    <w:bookmarkStart w:id="53" w:name="per-pixel-metadata"/>
    <w:p>
      <w:pPr>
        <w:pStyle w:val="berschrift3"/>
      </w:pP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52" w:name="sec:per-pixel-example"/>
    <w:p>
      <w:pPr>
        <w:pStyle w:val="berschrift4"/>
      </w:pPr>
      <w:r>
        <w:t xml:space="preserve">Example Requirement (</w:t>
      </w:r>
      <w:r>
        <w:rPr>
          <w:rStyle w:val="VerbatimChar"/>
        </w:rPr>
        <w:t xml:space="preserve">per-pixel-example</w:t>
      </w:r>
      <w:r>
        <w:t xml:space="preserve">)</w:t>
      </w:r>
    </w:p>
    <w:p>
      <w:pPr>
        <w:pStyle w:val="FirstParagraph"/>
      </w:pPr>
      <w:r>
        <w:t xml:space="preserve">This is an example requirement.</w:t>
      </w:r>
    </w:p>
    <w:bookmarkStart w:id="49" w:name="goal-requirements-4"/>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2"/>
        </w:numPr>
      </w:pPr>
      <w:r>
        <w:t xml:space="preserve">This is a note.</w:t>
      </w:r>
    </w:p>
    <w:bookmarkEnd w:id="49"/>
    <w:bookmarkStart w:id="50" w:name="threshold-requirements-2"/>
    <w:p>
      <w:pPr>
        <w:pStyle w:val="berschrift5"/>
      </w:pPr>
      <w:r>
        <w:t xml:space="preserve">Threshold requirements:</w:t>
      </w:r>
    </w:p>
    <w:p>
      <w:pPr>
        <w:pStyle w:val="FirstParagraph"/>
      </w:pPr>
      <w:r>
        <w:t xml:space="preserve">This is a threshold requirement.</w:t>
      </w:r>
    </w:p>
    <w:bookmarkEnd w:id="50"/>
    <w:bookmarkStart w:id="51" w:name="assessment-4"/>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Target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bookmarkEnd w:id="51"/>
    <w:bookmarkEnd w:id="52"/>
    <w:bookmarkEnd w:id="53"/>
    <w:bookmarkStart w:id="57" w:name="radiometric-and-atmospheric-corrections"/>
    <w:p>
      <w:pPr>
        <w:pStyle w:val="berschrift3"/>
      </w:pP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 Radiometric corrections must lead to a valid measurement of surface reflectance.</w:t>
      </w:r>
    </w:p>
    <w:bookmarkStart w:id="56" w:name="sec:corrections-measurements-uncertainty"/>
    <w:p>
      <w:pPr>
        <w:pStyle w:val="berschrift4"/>
      </w:pPr>
      <w:r>
        <w:t xml:space="preserve">Measurement Uncertainty (</w:t>
      </w:r>
      <w:r>
        <w:rPr>
          <w:rStyle w:val="VerbatimChar"/>
        </w:rPr>
        <w:t xml:space="preserve">corrections-measurements-uncertainty</w:t>
      </w:r>
      <w:r>
        <w:t xml:space="preserve">)</w:t>
      </w:r>
    </w:p>
    <w:p>
      <w:pPr>
        <w:pStyle w:val="FirstParagraph"/>
      </w:pPr>
      <w:r>
        <w:t xml:space="preserve">Note: In current practice, users determine fitness for purpose based on knowledge of the lineage of the data, rather than on a specific estimate of measurement uncertainty.</w:t>
      </w:r>
    </w:p>
    <w:bookmarkStart w:id="54" w:name="goal-requirements-5"/>
    <w:p>
      <w:pPr>
        <w:pStyle w:val="berschrift5"/>
      </w:pPr>
      <w:r>
        <w:t xml:space="preserve">Goal requirements:</w:t>
      </w:r>
    </w:p>
    <w:p>
      <w:pPr>
        <w:pStyle w:val="FirstParagraph"/>
      </w:pPr>
      <w:r>
        <w:t xml:space="preserve">An estimate of the certainty of the values is provided in measurement units.</w:t>
      </w:r>
    </w:p>
    <w:p>
      <w:pPr>
        <w:pStyle w:val="Textkrper"/>
      </w:pPr>
      <w:r>
        <w:t xml:space="preserve">Notes:</w:t>
      </w:r>
    </w:p>
    <w:p>
      <w:pPr>
        <w:pStyle w:val="Compact"/>
        <w:numPr>
          <w:ilvl w:val="0"/>
          <w:numId w:val="1014"/>
        </w:numPr>
      </w:pPr>
      <w:r>
        <w:t xml:space="preserve">This is a requirement for SI traceability. See also Section </w:t>
      </w:r>
      <w:r>
        <w:t xml:space="preserve">“</w:t>
      </w:r>
      <w:hyperlink w:anchor="sec:general-metadata-traceability">
        <w:r>
          <w:rPr>
            <w:rStyle w:val="Hyperlink"/>
          </w:rPr>
          <w:t xml:space="preserve">general-metadata-traceability</w:t>
        </w:r>
      </w:hyperlink>
      <w:r>
        <w:t xml:space="preserve">”</w:t>
      </w:r>
      <w:r>
        <w:t xml:space="preserve">.</w:t>
      </w:r>
    </w:p>
    <w:p>
      <w:pPr>
        <w:pStyle w:val="Compact"/>
        <w:numPr>
          <w:ilvl w:val="0"/>
          <w:numId w:val="1014"/>
        </w:numPr>
      </w:pPr>
      <w:r>
        <w:t xml:space="preserve">Information on measurement uncertainty should be available in the metadata as a single DOI landing page.</w:t>
      </w:r>
    </w:p>
    <w:bookmarkEnd w:id="54"/>
    <w:bookmarkStart w:id="55" w:name="assessment-5"/>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Target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bookmarkEnd w:id="55"/>
    <w:bookmarkEnd w:id="56"/>
    <w:bookmarkEnd w:id="57"/>
    <w:bookmarkStart w:id="62" w:name="geometric-corrections"/>
    <w:p>
      <w:pPr>
        <w:pStyle w:val="berschrift3"/>
      </w:pP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61" w:name="X2f60f90e3cce2f67192c6417e575175e5cb086d"/>
    <w:p>
      <w:pPr>
        <w:pStyle w:val="berschrift4"/>
      </w:pPr>
      <w:r>
        <w:t xml:space="preserve">Geometric Corrections (</w:t>
      </w:r>
      <w:r>
        <w:rPr>
          <w:rStyle w:val="VerbatimChar"/>
        </w:rPr>
        <w:t xml:space="preserve">geometric-corrections-corrections-geometric-corrections</w:t>
      </w:r>
      <w:r>
        <w:t xml:space="preserve">)</w:t>
      </w:r>
    </w:p>
    <w:bookmarkStart w:id="58" w:name="goal-requirements-6"/>
    <w:p>
      <w:pPr>
        <w:pStyle w:val="berschrift5"/>
      </w:pPr>
      <w:r>
        <w:t xml:space="preserve">Goal requirements:</w:t>
      </w:r>
    </w:p>
    <w:p>
      <w:pPr>
        <w:pStyle w:val="FirstParagraph"/>
      </w:pPr>
      <w:r>
        <w:t xml:space="preserve">Sub-pixel accuracy is achieved relative to an identified absolute independent terrestrial referencing system (such as a national map grid).</w:t>
      </w:r>
    </w:p>
    <w:p>
      <w:pPr>
        <w:pStyle w:val="Textkrper"/>
      </w:pPr>
      <w:r>
        <w:t xml:space="preserve">A consistent gridding/sampling frame is necessary to meet this requirement.</w:t>
      </w:r>
    </w:p>
    <w:p>
      <w:pPr>
        <w:pStyle w:val="Textkrper"/>
      </w:pPr>
      <w:r>
        <w:t xml:space="preserve">Relevant metadata must be provided under 1.8 and 1.9.</w:t>
      </w:r>
    </w:p>
    <w:p>
      <w:pPr>
        <w:pStyle w:val="Textkrper"/>
      </w:pPr>
      <w:r>
        <w:t xml:space="preserve">Notes:</w:t>
      </w:r>
    </w:p>
    <w:p>
      <w:pPr>
        <w:pStyle w:val="Compact"/>
        <w:numPr>
          <w:ilvl w:val="0"/>
          <w:numId w:val="1016"/>
        </w:numPr>
      </w:pPr>
      <w:r>
        <w:t xml:space="preserve">This requirement is intended to enable interoperability between imagery from different platforms that meet this level of correction and with non-image spatial data such as GIS layers and terrain models.</w:t>
      </w:r>
    </w:p>
    <w:bookmarkEnd w:id="58"/>
    <w:bookmarkStart w:id="59" w:name="threshold-requirements-3"/>
    <w:p>
      <w:pPr>
        <w:pStyle w:val="berschrift5"/>
      </w:pPr>
      <w:r>
        <w:t xml:space="preserve">Threshold requirements:</w:t>
      </w:r>
    </w:p>
    <w:p>
      <w:pPr>
        <w:pStyle w:val="FirstParagraph"/>
      </w:pPr>
      <w:r>
        <w:t xml:space="preserve">Sub-pixel accuracy is achieved in relative geolocation, that is, the pixels from the same instrument and platform are consistently located, and thus, comparable through time.</w:t>
      </w:r>
    </w:p>
    <w:p>
      <w:pPr>
        <w:pStyle w:val="Textkrper"/>
      </w:pPr>
      <w:r>
        <w:t xml:space="preserve">Sub-pixel accuracy is taken to be less than or equal to 0.5-pixel radial root mean square error (rRMSE) or equivalent in Circular Error Probability (CEP) relative to a defined reference image.</w:t>
      </w:r>
    </w:p>
    <w:p>
      <w:pPr>
        <w:pStyle w:val="Textkrper"/>
      </w:pPr>
      <w:r>
        <w:t xml:space="preserve">A consistent gridding/sampling frame is used, including common cell size, origin, and nominal sample point location within the cell (centre, ll, ur).</w:t>
      </w:r>
    </w:p>
    <w:p>
      <w:pPr>
        <w:pStyle w:val="Textkrper"/>
      </w:pPr>
      <w:r>
        <w:t xml:space="preserve">Relevant metadata must be provided under item 1.8 and 1.9.</w:t>
      </w:r>
    </w:p>
    <w:p>
      <w:pPr>
        <w:pStyle w:val="Textkrper"/>
      </w:pPr>
      <w:r>
        <w:t xml:space="preserve">Notes:</w:t>
      </w:r>
    </w:p>
    <w:p>
      <w:pPr>
        <w:pStyle w:val="Compact"/>
        <w:numPr>
          <w:ilvl w:val="0"/>
          <w:numId w:val="1017"/>
        </w:numPr>
      </w:pPr>
      <w:r>
        <w:t xml:space="preserve">The threshold level will not necessarily enable interoperability between data from</w:t>
      </w:r>
      <w:r>
        <w:t xml:space="preserve"> </w:t>
      </w:r>
      <w:r>
        <w:rPr>
          <w:i/>
          <w:iCs/>
        </w:rPr>
        <w:t xml:space="preserve">different</w:t>
      </w:r>
      <w:r>
        <w:t xml:space="preserve"> </w:t>
      </w:r>
      <w:r>
        <w:t xml:space="preserve">sources as the geometric corrections for each of the sources may differ.</w:t>
      </w:r>
    </w:p>
    <w:bookmarkEnd w:id="59"/>
    <w:bookmarkStart w:id="60" w:name="assessment-6"/>
    <w:p>
      <w:pPr>
        <w:pStyle w:val="berschrift5"/>
      </w:pPr>
      <w:r>
        <w:t xml:space="preserve">Assessment:</w:t>
      </w:r>
    </w:p>
    <w:p>
      <w:pPr>
        <w:pStyle w:val="Compact"/>
        <w:numPr>
          <w:ilvl w:val="0"/>
          <w:numId w:val="1018"/>
        </w:numPr>
      </w:pPr>
      <w:r>
        <w:t xml:space="preserve">Threshold Self-Assessment:</w:t>
      </w:r>
    </w:p>
    <w:p>
      <w:pPr>
        <w:pStyle w:val="Compact"/>
        <w:numPr>
          <w:ilvl w:val="0"/>
          <w:numId w:val="1018"/>
        </w:numPr>
      </w:pPr>
      <w:r>
        <w:t xml:space="preserve">Target Self-Assessment:</w:t>
      </w:r>
    </w:p>
    <w:p>
      <w:pPr>
        <w:pStyle w:val="Compact"/>
        <w:numPr>
          <w:ilvl w:val="0"/>
          <w:numId w:val="1018"/>
        </w:numPr>
      </w:pPr>
      <w:r>
        <w:t xml:space="preserve">Self-Assessment Explanation/ Justification:</w:t>
      </w:r>
    </w:p>
    <w:p>
      <w:pPr>
        <w:pStyle w:val="Compact"/>
        <w:numPr>
          <w:ilvl w:val="0"/>
          <w:numId w:val="1018"/>
        </w:numPr>
      </w:pPr>
      <w:r>
        <w:t xml:space="preserve">Recommended Requirement Modification:</w:t>
      </w:r>
    </w:p>
    <w:p>
      <w:r>
        <w:br w:type="page"/>
      </w:r>
    </w:p>
    <w:bookmarkEnd w:id="60"/>
    <w:bookmarkEnd w:id="61"/>
    <w:bookmarkEnd w:id="62"/>
    <w:bookmarkEnd w:id="63"/>
    <w:bookmarkStart w:id="64" w:name="summary-self-assessment-table"/>
    <w:p>
      <w:pPr>
        <w:pStyle w:val="berschrift2"/>
      </w:pPr>
      <w:r>
        <w:t xml:space="preserve">Summary Self-Assessment Table</w:t>
      </w:r>
    </w:p>
    <w:tbl>
      <w:tblPr>
        <w:tblStyle w:val="Table"/>
        <w:tblW w:type="pct" w:w="5000"/>
        <w:tblLayout w:type="fixed"/>
        <w:tblLook w:firstRow="1" w:lastRow="0" w:firstColumn="0" w:lastColumn="0" w:noHBand="0" w:noVBand="0" w:val="0020"/>
      </w:tblPr>
      <w:tblGrid>
        <w:gridCol w:w="3630"/>
        <w:gridCol w:w="2970"/>
        <w:gridCol w:w="1320"/>
      </w:tblGrid>
      <w:tr>
        <w:trPr>
          <w:tblHeader w:val="on"/>
        </w:trPr>
        <w:tc>
          <w:tcPr/>
          <w:p>
            <w:pPr>
              <w:pStyle w:val="Compact"/>
            </w:pPr>
            <w:r>
              <w:t xml:space="preserve">Requirement</w:t>
            </w:r>
          </w:p>
        </w:tc>
        <w:tc>
          <w:tcPr/>
          <w:p>
            <w:pPr>
              <w:pStyle w:val="Compact"/>
              <w:jc w:val="center"/>
            </w:pPr>
            <w:r>
              <w:t xml:space="preserve">Threshold</w:t>
            </w:r>
          </w:p>
        </w:tc>
        <w:tc>
          <w:tcPr/>
          <w:p>
            <w:pPr>
              <w:pStyle w:val="Compact"/>
              <w:jc w:val="center"/>
            </w:pPr>
            <w:r>
              <w:t xml:space="preserve">Goal</w:t>
            </w:r>
          </w:p>
        </w:tc>
      </w:tr>
      <w:tr>
        <w:tc>
          <w:tcPr/>
          <w:p>
            <w:pPr>
              <w:pStyle w:val="Compact"/>
            </w:pPr>
            <w:r>
              <w:rPr>
                <w:b/>
                <w:bCs/>
              </w:rPr>
              <w:t xml:space="preserve">General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Traceability (</w:t>
            </w:r>
            <w:r>
              <w:rPr>
                <w:rStyle w:val="VerbatimChar"/>
              </w:rPr>
              <w:t xml:space="preserve">general-metadata-traceability</w:t>
            </w:r>
            <w:r>
              <w:t xml:space="preserve">)</w:t>
            </w:r>
          </w:p>
        </w:tc>
        <w:tc>
          <w:tcPr/>
          <w:p>
            <w:pPr>
              <w:pStyle w:val="Compact"/>
              <w:jc w:val="center"/>
            </w:pPr>
            <w:r>
              <w:rPr>
                <w:i/>
                <w:iCs/>
              </w:rPr>
              <w:t xml:space="preserve">not required</w:t>
            </w:r>
          </w:p>
        </w:tc>
        <w:tc>
          <w:tcPr/>
          <w:p>
            <w:pPr>
              <w:pStyle w:val="Compact"/>
            </w:pPr>
          </w:p>
        </w:tc>
      </w:tr>
      <w:tr>
        <w:tc>
          <w:tcPr/>
          <w:p>
            <w:pPr>
              <w:pStyle w:val="Compact"/>
            </w:pPr>
            <w:r>
              <w:t xml:space="preserve">Metadata Machine Readability (</w:t>
            </w:r>
            <w:r>
              <w:rPr>
                <w:rStyle w:val="VerbatimChar"/>
              </w:rPr>
              <w:t xml:space="preserve">general-metadata-machine-readability</w:t>
            </w:r>
            <w:r>
              <w:t xml:space="preserve">)</w:t>
            </w:r>
          </w:p>
        </w:tc>
        <w:tc>
          <w:tcPr/>
          <w:p>
            <w:pPr>
              <w:pStyle w:val="Compact"/>
            </w:pPr>
          </w:p>
        </w:tc>
        <w:tc>
          <w:tcPr/>
          <w:p>
            <w:pPr>
              <w:pStyle w:val="Compact"/>
            </w:pPr>
          </w:p>
        </w:tc>
      </w:tr>
      <w:tr>
        <w:tc>
          <w:tcPr/>
          <w:p>
            <w:pPr>
              <w:pStyle w:val="Compact"/>
            </w:pPr>
            <w:r>
              <w:rPr>
                <w:b/>
                <w:bCs/>
              </w:rPr>
              <w:t xml:space="preserve">Source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Data Collection Time (</w:t>
            </w:r>
            <w:r>
              <w:rPr>
                <w:rStyle w:val="VerbatimChar"/>
              </w:rPr>
              <w:t xml:space="preserve">source-metadata-time</w:t>
            </w:r>
            <w:r>
              <w:t xml:space="preserve">)</w:t>
            </w:r>
          </w:p>
        </w:tc>
        <w:tc>
          <w:tcPr/>
          <w:p>
            <w:pPr>
              <w:pStyle w:val="Compact"/>
            </w:pPr>
          </w:p>
        </w:tc>
        <w:tc>
          <w:tcPr/>
          <w:p>
            <w:pPr>
              <w:pStyle w:val="Compact"/>
            </w:pPr>
          </w:p>
        </w:tc>
      </w:tr>
      <w:tr>
        <w:tc>
          <w:tcPr/>
          <w:p>
            <w:pPr>
              <w:pStyle w:val="Compact"/>
            </w:pPr>
            <w:r>
              <w:rPr>
                <w:b/>
                <w:bCs/>
              </w:rPr>
              <w:t xml:space="preserve">Product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Geometric Correction Algorithm (</w:t>
            </w:r>
            <w:r>
              <w:rPr>
                <w:rStyle w:val="VerbatimChar"/>
              </w:rPr>
              <w:t xml:space="preserve">product-metadata-geometric-correction-algorithm</w:t>
            </w:r>
            <w:r>
              <w:t xml:space="preserve">)</w:t>
            </w:r>
          </w:p>
        </w:tc>
        <w:tc>
          <w:tcPr/>
          <w:p>
            <w:pPr>
              <w:pStyle w:val="Compact"/>
              <w:jc w:val="center"/>
            </w:pPr>
            <w:r>
              <w:rPr>
                <w:i/>
                <w:iCs/>
              </w:rPr>
              <w:t xml:space="preserve">not required</w:t>
            </w:r>
          </w:p>
        </w:tc>
        <w:tc>
          <w:tcPr/>
          <w:p>
            <w:pPr>
              <w:pStyle w:val="Compact"/>
            </w:pPr>
          </w:p>
        </w:tc>
      </w:tr>
      <w:tr>
        <w:tc>
          <w:tcPr/>
          <w:p>
            <w:pPr>
              <w:pStyle w:val="Compact"/>
            </w:pPr>
            <w:r>
              <w:rPr>
                <w:b/>
                <w:bCs/>
              </w:rPr>
              <w:t xml:space="preserve">Per-Pixel Metadata</w:t>
            </w:r>
          </w:p>
        </w:tc>
        <w:tc>
          <w:tcPr/>
          <w:p>
            <w:pPr>
              <w:pStyle w:val="Compact"/>
              <w:jc w:val="center"/>
            </w:pPr>
            <w:r>
              <w:t xml:space="preserve">-</w:t>
            </w:r>
          </w:p>
        </w:tc>
        <w:tc>
          <w:tcPr/>
          <w:p>
            <w:pPr>
              <w:pStyle w:val="Compact"/>
              <w:jc w:val="center"/>
            </w:pPr>
            <w:r>
              <w:t xml:space="preserve">-</w:t>
            </w:r>
          </w:p>
        </w:tc>
      </w:tr>
      <w:tr>
        <w:tc>
          <w:tcPr/>
          <w:p>
            <w:pPr>
              <w:pStyle w:val="Compact"/>
            </w:pPr>
            <w:r>
              <w:t xml:space="preserve">Example Requirement (</w:t>
            </w:r>
            <w:r>
              <w:rPr>
                <w:rStyle w:val="VerbatimChar"/>
              </w:rPr>
              <w:t xml:space="preserve">per-pixel-example</w:t>
            </w:r>
            <w:r>
              <w:t xml:space="preserve">)</w:t>
            </w:r>
          </w:p>
        </w:tc>
        <w:tc>
          <w:tcPr/>
          <w:p>
            <w:pPr>
              <w:pStyle w:val="Compact"/>
            </w:pPr>
          </w:p>
        </w:tc>
        <w:tc>
          <w:tcPr/>
          <w:p>
            <w:pPr>
              <w:pStyle w:val="Compact"/>
            </w:pPr>
          </w:p>
        </w:tc>
      </w:tr>
      <w:tr>
        <w:tc>
          <w:tcPr/>
          <w:p>
            <w:pPr>
              <w:pStyle w:val="Compact"/>
            </w:pPr>
            <w:r>
              <w:rPr>
                <w:b/>
                <w:bCs/>
              </w:rPr>
              <w:t xml:space="preserve">Radiometric and Atmospheric Corrections</w:t>
            </w:r>
          </w:p>
        </w:tc>
        <w:tc>
          <w:tcPr/>
          <w:p>
            <w:pPr>
              <w:pStyle w:val="Compact"/>
              <w:jc w:val="center"/>
            </w:pPr>
            <w:r>
              <w:t xml:space="preserve">-</w:t>
            </w:r>
          </w:p>
        </w:tc>
        <w:tc>
          <w:tcPr/>
          <w:p>
            <w:pPr>
              <w:pStyle w:val="Compact"/>
              <w:jc w:val="center"/>
            </w:pPr>
            <w:r>
              <w:t xml:space="preserve">-</w:t>
            </w:r>
          </w:p>
        </w:tc>
      </w:tr>
      <w:tr>
        <w:tc>
          <w:tcPr/>
          <w:p>
            <w:pPr>
              <w:pStyle w:val="Compact"/>
            </w:pPr>
            <w:r>
              <w:t xml:space="preserve">Measurement Uncertainty (</w:t>
            </w:r>
            <w:r>
              <w:rPr>
                <w:rStyle w:val="VerbatimChar"/>
              </w:rPr>
              <w:t xml:space="preserve">corrections-measurements-uncertainty</w:t>
            </w:r>
            <w:r>
              <w:t xml:space="preserve">)</w:t>
            </w:r>
          </w:p>
        </w:tc>
        <w:tc>
          <w:tcPr/>
          <w:p>
            <w:pPr>
              <w:pStyle w:val="Compact"/>
              <w:jc w:val="center"/>
            </w:pPr>
            <w:r>
              <w:rPr>
                <w:i/>
                <w:iCs/>
              </w:rPr>
              <w:t xml:space="preserve">not required</w:t>
            </w:r>
          </w:p>
        </w:tc>
        <w:tc>
          <w:tcPr/>
          <w:p>
            <w:pPr>
              <w:pStyle w:val="Compact"/>
            </w:pPr>
          </w:p>
        </w:tc>
      </w:tr>
      <w:tr>
        <w:tc>
          <w:tcPr/>
          <w:p>
            <w:pPr>
              <w:pStyle w:val="Compact"/>
            </w:pPr>
            <w:r>
              <w:rPr>
                <w:b/>
                <w:bCs/>
              </w:rPr>
              <w:t xml:space="preserve">Geometric Corrections</w:t>
            </w:r>
          </w:p>
        </w:tc>
        <w:tc>
          <w:tcPr/>
          <w:p>
            <w:pPr>
              <w:pStyle w:val="Compact"/>
              <w:jc w:val="center"/>
            </w:pPr>
            <w:r>
              <w:t xml:space="preserve">-</w:t>
            </w:r>
          </w:p>
        </w:tc>
        <w:tc>
          <w:tcPr/>
          <w:p>
            <w:pPr>
              <w:pStyle w:val="Compact"/>
              <w:jc w:val="center"/>
            </w:pPr>
            <w:r>
              <w:t xml:space="preserve">-</w:t>
            </w:r>
          </w:p>
        </w:tc>
      </w:tr>
      <w:tr>
        <w:tc>
          <w:tcPr/>
          <w:p>
            <w:pPr>
              <w:pStyle w:val="Compact"/>
            </w:pPr>
            <w:r>
              <w:t xml:space="preserve">Geometric Corrections (</w:t>
            </w:r>
            <w:r>
              <w:rPr>
                <w:rStyle w:val="VerbatimChar"/>
              </w:rPr>
              <w:t xml:space="preserve">geometric-corrections-corrections-geometric-corrections</w:t>
            </w:r>
            <w:r>
              <w:t xml:space="preserve">)</w:t>
            </w:r>
          </w:p>
        </w:tc>
        <w:tc>
          <w:tcPr/>
          <w:p>
            <w:pPr>
              <w:pStyle w:val="Compact"/>
            </w:pPr>
          </w:p>
        </w:tc>
        <w:tc>
          <w:tcPr/>
          <w:p>
            <w:pPr>
              <w:pStyle w:val="Compact"/>
            </w:pPr>
          </w:p>
        </w:tc>
      </w:tr>
    </w:tbl>
    <w:p>
      <w:r>
        <w:br w:type="page"/>
      </w:r>
    </w:p>
    <w:bookmarkEnd w:id="64"/>
    <w:bookmarkStart w:id="75" w:name="references"/>
    <w:p>
      <w:pPr>
        <w:pStyle w:val="berschrift2"/>
      </w:pPr>
      <w:r>
        <w:t xml:space="preserve">References</w:t>
      </w:r>
    </w:p>
    <w:bookmarkStart w:id="74" w:name="refs"/>
    <w:bookmarkStart w:id="65"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65"/>
    <w:bookmarkStart w:id="67" w:name="ref-mills2014"/>
    <w:p>
      <w:pPr>
        <w:pStyle w:val="Literaturverzeichnis"/>
      </w:pPr>
      <w:r>
        <w:t xml:space="preserve">Mills, Stephen, and Steven Miller. 2014.</w:t>
      </w:r>
      <w:r>
        <w:t xml:space="preserve"> </w:t>
      </w:r>
      <w:r>
        <w:t xml:space="preserve">“VIIRS Day-Night Band (DNB) Calibration Methods for Improved Uniformity.”</w:t>
      </w:r>
      <w:r>
        <w:t xml:space="preserve"> </w:t>
      </w:r>
      <w:r>
        <w:rPr>
          <w:i/>
          <w:iCs/>
        </w:rPr>
        <w:t xml:space="preserve">Proceedings of SPIE - The International Society for Optical Engineering</w:t>
      </w:r>
      <w:r>
        <w:t xml:space="preserve"> </w:t>
      </w:r>
      <w:r>
        <w:t xml:space="preserve">9218 (October): 921809.</w:t>
      </w:r>
      <w:r>
        <w:t xml:space="preserve"> </w:t>
      </w:r>
      <w:hyperlink r:id="rId66">
        <w:r>
          <w:rPr>
            <w:rStyle w:val="Hyperlink"/>
          </w:rPr>
          <w:t xml:space="preserve">https://doi.org/10.1117/12.2060143</w:t>
        </w:r>
      </w:hyperlink>
      <w:r>
        <w:t xml:space="preserve">.</w:t>
      </w:r>
    </w:p>
    <w:bookmarkEnd w:id="67"/>
    <w:bookmarkStart w:id="69" w:name="ref-roman2018"/>
    <w:p>
      <w:pPr>
        <w:pStyle w:val="Literaturverzeichnis"/>
      </w:pPr>
      <w:r>
        <w:t xml:space="preserve">Román, Miguel O., Zhuosen Wang, Qingsong Sun, Virginia Kalb, Steven D. Miller, Andrew Molthan, Lori Schultz, et al. 2018.</w:t>
      </w:r>
      <w:r>
        <w:t xml:space="preserve"> </w:t>
      </w:r>
      <w:r>
        <w:t xml:space="preserve">“NASA’s Black Marble Nighttime Lights Product Suite.”</w:t>
      </w:r>
      <w:r>
        <w:t xml:space="preserve"> </w:t>
      </w:r>
      <w:r>
        <w:rPr>
          <w:i/>
          <w:iCs/>
        </w:rPr>
        <w:t xml:space="preserve">Remote Sensing of Environment</w:t>
      </w:r>
      <w:r>
        <w:t xml:space="preserve"> </w:t>
      </w:r>
      <w:r>
        <w:t xml:space="preserve">210: 113–43. https://doi.org/</w:t>
      </w:r>
      <w:hyperlink r:id="rId68">
        <w:r>
          <w:rPr>
            <w:rStyle w:val="Hyperlink"/>
          </w:rPr>
          <w:t xml:space="preserve">https://doi.org/10.1016/j.rse.2018.03.017</w:t>
        </w:r>
      </w:hyperlink>
      <w:r>
        <w:t xml:space="preserve">.</w:t>
      </w:r>
    </w:p>
    <w:bookmarkEnd w:id="69"/>
    <w:bookmarkStart w:id="71" w:name="ref-ryan2019"/>
    <w:p>
      <w:pPr>
        <w:pStyle w:val="Literaturverzeichnis"/>
      </w:pPr>
      <w:r>
        <w:t xml:space="preserve">Ryan, Robert E., Mary Pagnutti, Kara Burch, Larry Leigh, Timothy Ruggles, Changyong Cao, David Aaron, Slawomir Blonski, and Dennis Helder. 2019.</w:t>
      </w:r>
      <w:r>
        <w:t xml:space="preserve"> </w:t>
      </w:r>
      <w:r>
        <w:t xml:space="preserve">“The Terra Vega Active Light Source: A First Step in a New Approach to Perform Nighttime Absolute Radiometric Calibrations and Early Results Calibrating the VIIRS DNB.”</w:t>
      </w:r>
      <w:r>
        <w:t xml:space="preserve"> </w:t>
      </w:r>
      <w:r>
        <w:rPr>
          <w:i/>
          <w:iCs/>
        </w:rPr>
        <w:t xml:space="preserve">Remote Sensing</w:t>
      </w:r>
      <w:r>
        <w:t xml:space="preserve"> </w:t>
      </w:r>
      <w:r>
        <w:t xml:space="preserve">11 (6).</w:t>
      </w:r>
      <w:r>
        <w:t xml:space="preserve"> </w:t>
      </w:r>
      <w:hyperlink r:id="rId70">
        <w:r>
          <w:rPr>
            <w:rStyle w:val="Hyperlink"/>
          </w:rPr>
          <w:t xml:space="preserve">https://doi.org/10.3390/rs11060710</w:t>
        </w:r>
      </w:hyperlink>
      <w:r>
        <w:t xml:space="preserve">.</w:t>
      </w:r>
    </w:p>
    <w:bookmarkEnd w:id="71"/>
    <w:bookmarkStart w:id="73" w:name="ref-wang2021"/>
    <w:p>
      <w:pPr>
        <w:pStyle w:val="Literaturverzeichnis"/>
      </w:pPr>
      <w:r>
        <w:t xml:space="preserve">Wang, Zhuosen, Miguel O. Román, Virginia L. Kalb, Steven D. Miller, Jianglong Zhang, and Ranjay M. Shrestha. 2021.</w:t>
      </w:r>
      <w:r>
        <w:t xml:space="preserve"> </w:t>
      </w:r>
      <w:r>
        <w:t xml:space="preserve">“Quantifying Uncertainties in Nighttime Light Retrievals from Suomi-NPP and NOAA-20 VIIRS Day/Night Band Data.”</w:t>
      </w:r>
      <w:r>
        <w:t xml:space="preserve"> </w:t>
      </w:r>
      <w:r>
        <w:rPr>
          <w:i/>
          <w:iCs/>
        </w:rPr>
        <w:t xml:space="preserve">Remote Sensing of Environment</w:t>
      </w:r>
      <w:r>
        <w:t xml:space="preserve"> </w:t>
      </w:r>
      <w:r>
        <w:t xml:space="preserve">263: 112557. https://doi.org/</w:t>
      </w:r>
      <w:hyperlink r:id="rId72">
        <w:r>
          <w:rPr>
            <w:rStyle w:val="Hyperlink"/>
          </w:rPr>
          <w:t xml:space="preserve">https://doi.org/10.1016/j.rse.2021.112557</w:t>
        </w:r>
      </w:hyperlink>
      <w:r>
        <w:t xml:space="preserve">.</w:t>
      </w:r>
    </w:p>
    <w:bookmarkEnd w:id="73"/>
    <w:bookmarkEnd w:id="74"/>
    <w:bookmarkEnd w:id="75"/>
    <w:bookmarkEnd w:id="76"/>
    <w:sectPr w:rsidR="00B92216" w:rsidSect="00610FB9">
      <w:footerReference r:id="rId9" w:type="default"/>
      <w:pgSz w:code="9" w:h="16838" w:w="11906"/>
      <w:pgMar w:bottom="1080" w:footer="720" w:gutter="0" w:header="720"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10326"/>
      <w:docPartObj>
        <w:docPartGallery w:val="Page Numbers (Bottom of Page)"/>
        <w:docPartUnique/>
      </w:docPartObj>
    </w:sdtPr>
    <w:sdtContent>
      <w:p w14:paraId="462C1695" w14:textId="2E9892F1" w:rsidR="00993E42" w:rsidRDefault="00993E42" w:rsidP="00993E42">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2414F3"/>
    <w:rsid w:val="00325BB6"/>
    <w:rsid w:val="00401562"/>
    <w:rsid w:val="005264C6"/>
    <w:rsid w:val="00534ED4"/>
    <w:rsid w:val="005863B3"/>
    <w:rsid w:val="005B727A"/>
    <w:rsid w:val="005D7A20"/>
    <w:rsid w:val="005E0659"/>
    <w:rsid w:val="00610FB9"/>
    <w:rsid w:val="00631C98"/>
    <w:rsid w:val="007154AC"/>
    <w:rsid w:val="00761883"/>
    <w:rsid w:val="007C4675"/>
    <w:rsid w:val="00993E42"/>
    <w:rsid w:val="00A24F98"/>
    <w:rsid w:val="00B07C6B"/>
    <w:rsid w:val="00B46612"/>
    <w:rsid w:val="00B92216"/>
    <w:rsid w:val="00BA1D31"/>
    <w:rsid w:val="00BD04E8"/>
    <w:rsid w:val="00CF624D"/>
    <w:rsid w:val="00E56CB6"/>
    <w:rsid w:val="00E94ABB"/>
    <w:rsid w:val="00F076E9"/>
    <w:rsid w:val="00F17E8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20" Target="media/rId20.png" /><Relationship Type="http://schemas.openxmlformats.org/officeDocument/2006/relationships/hyperlink" Id="rId27" Target="https://ceos.org/ard/files/CEOS_ARD_Governance_Framework_18-October-2021.pdf" TargetMode="External" /><Relationship Type="http://schemas.openxmlformats.org/officeDocument/2006/relationships/hyperlink" Id="rId68" Target="https://doi.org/10.1016/j.rse.2018.03.017" TargetMode="External" /><Relationship Type="http://schemas.openxmlformats.org/officeDocument/2006/relationships/hyperlink" Id="rId72" Target="https://doi.org/10.1016/j.rse.2021.112557" TargetMode="External" /><Relationship Type="http://schemas.openxmlformats.org/officeDocument/2006/relationships/hyperlink" Id="rId66" Target="https://doi.org/10.1117/12.2060143" TargetMode="External" /><Relationship Type="http://schemas.openxmlformats.org/officeDocument/2006/relationships/hyperlink" Id="rId70" Target="https://doi.org/10.3390/rs11060710"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68" Target="https://doi.org/10.1016/j.rse.2018.03.017" TargetMode="External" /><Relationship Type="http://schemas.openxmlformats.org/officeDocument/2006/relationships/hyperlink" Id="rId72" Target="https://doi.org/10.1016/j.rse.2021.112557" TargetMode="External" /><Relationship Type="http://schemas.openxmlformats.org/officeDocument/2006/relationships/hyperlink" Id="rId66" Target="https://doi.org/10.1117/12.2060143" TargetMode="External" /><Relationship Type="http://schemas.openxmlformats.org/officeDocument/2006/relationships/hyperlink" Id="rId70" Target="https://doi.org/10.3390/rs11060710"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Nighttime Light Surface Radiance</dc:title>
  <dc:creator/>
  <dc:language>en</dc:language>
  <cp:keywords/>
  <dcterms:created xsi:type="dcterms:W3CDTF">2025-03-02T16:31:48Z</dcterms:created>
  <dcterms:modified xsi:type="dcterms:W3CDTF">2025-03-02T16:31:48Z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build/NLSR.bib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