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08.jpg" ContentType="image/jpeg"/>
  <Override PartName="/word/media/rId30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14"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“Backscatter Measurement”</w:t>
      </w:r>
      <w:r>
        <w:t xml:space="preserve">: Replaced</w:t>
      </w:r>
      <w:r>
        <w:t xml:space="preserve"> </w:t>
      </w:r>
      <w:r>
        <w:t xml:space="preserve">“and/or”</w:t>
      </w:r>
      <w:r>
        <w:t xml:space="preserve"> </w:t>
      </w:r>
      <w:r>
        <w:t xml:space="preserve">with</w:t>
      </w:r>
      <w:r>
        <w:t xml:space="preserve"> </w:t>
      </w:r>
      <w:r>
        <w:t xml:space="preserve">“one of the following types or both”</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Polarimetric Radar (POL)</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3.6.0-draft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nearest neighbour method is recommended for resampling the data to the geocoded format.</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p>
      <w:pPr>
        <w:pStyle w:val="FirstParagraph"/>
      </w:pPr>
      <w:r>
        <w:t xml:space="preserve">Advanced polarimetric filter preserving covariance matrix properties shall be applied.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pol"/>
    <w:p>
      <w:pPr>
        <w:pStyle w:val="berschrift4"/>
      </w:pPr>
      <w:r>
        <w:rPr>
          <w:rStyle w:val="VerbatimChar"/>
        </w:rPr>
        <w:t xml:space="preserve">5.1.</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199" w:name="threshold-requirements-39"/>
    <w:p>
      <w:pPr>
        <w:pStyle w:val="berschrift5"/>
      </w:pPr>
      <w:r>
        <w:t xml:space="preserve">Threshold requirements:</w:t>
      </w:r>
    </w:p>
    <w:p>
      <w:pPr>
        <w:pStyle w:val="FirstParagraph"/>
      </w:pPr>
      <w:r>
        <w:t xml:space="preserve">Measurements can be one of the following types or both:</w:t>
      </w:r>
    </w:p>
    <w:p>
      <w:pPr>
        <w:pStyle w:val="Compact"/>
        <w:numPr>
          <w:ilvl w:val="0"/>
          <w:numId w:val="1075"/>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5"/>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6"/>
        </w:numPr>
      </w:pPr>
      <w:r>
        <w:t xml:space="preserve">Measurement Type (CovMat, PRD)</w:t>
      </w:r>
    </w:p>
    <w:p>
      <w:pPr>
        <w:pStyle w:val="Compact"/>
        <w:numPr>
          <w:ilvl w:val="0"/>
          <w:numId w:val="1076"/>
        </w:numPr>
      </w:pPr>
      <w:r>
        <w:t xml:space="preserve">Measurement convention unit (linear amplitude, or linear power [see notes], or phase angle)</w:t>
      </w:r>
    </w:p>
    <w:p>
      <w:pPr>
        <w:pStyle w:val="Compact"/>
        <w:numPr>
          <w:ilvl w:val="0"/>
          <w:numId w:val="1076"/>
        </w:numPr>
      </w:pPr>
      <w:r>
        <w:t xml:space="preserve">Individual covariance matrix element or/and Individual component of the decomposition (C3m11, C3m12, …, or H, A, alpha, or …)</w:t>
      </w:r>
    </w:p>
    <w:p>
      <w:pPr>
        <w:pStyle w:val="Compact"/>
        <w:numPr>
          <w:ilvl w:val="0"/>
          <w:numId w:val="1076"/>
        </w:numPr>
      </w:pPr>
      <w:r>
        <w:t xml:space="preserve">Data Format (GeoTIFF, HDF5, NetCDF, …)</w:t>
      </w:r>
    </w:p>
    <w:p>
      <w:pPr>
        <w:pStyle w:val="Compact"/>
        <w:numPr>
          <w:ilvl w:val="0"/>
          <w:numId w:val="1076"/>
        </w:numPr>
      </w:pPr>
      <w:r>
        <w:t xml:space="preserve">Data Type (Int, Float, Complex, …)</w:t>
      </w:r>
    </w:p>
    <w:p>
      <w:pPr>
        <w:pStyle w:val="Compact"/>
        <w:numPr>
          <w:ilvl w:val="0"/>
          <w:numId w:val="1076"/>
        </w:numPr>
      </w:pPr>
      <w:r>
        <w:t xml:space="preserve">Bits per Sample</w:t>
      </w:r>
    </w:p>
    <w:p>
      <w:pPr>
        <w:pStyle w:val="Compact"/>
        <w:numPr>
          <w:ilvl w:val="0"/>
          <w:numId w:val="1076"/>
        </w:numPr>
      </w:pPr>
      <w:r>
        <w:t xml:space="preserve">Byte Order</w:t>
      </w:r>
    </w:p>
    <w:p>
      <w:pPr>
        <w:pStyle w:val="FirstParagraph"/>
      </w:pPr>
      <w:r>
        <w:t xml:space="preserve">Notes:</w:t>
      </w:r>
    </w:p>
    <w:p>
      <w:pPr>
        <w:pStyle w:val="Compact"/>
        <w:numPr>
          <w:ilvl w:val="0"/>
          <w:numId w:val="1077"/>
        </w:numPr>
      </w:pPr>
      <w:r>
        <w:t xml:space="preserve">Transformation to the logarithm decibel scale is not required or desired as this step can be completed by the user if necessary.</w:t>
      </w:r>
    </w:p>
    <w:p>
      <w:pPr>
        <w:pStyle w:val="Compact"/>
        <w:numPr>
          <w:ilvl w:val="0"/>
          <w:numId w:val="1077"/>
        </w:numPr>
      </w:pPr>
      <w:r>
        <w:t xml:space="preserve">It is recommended to keep CovMat or PRD measurement files separated. Else, specify the multi-channel format order [BIP, BIL, BSQ].</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80"/>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2"/>
        </w:numPr>
      </w:pPr>
      <w:r>
        <w:t xml:space="preserve">a citable peer-reviewed algorithm</w:t>
      </w:r>
    </w:p>
    <w:p>
      <w:pPr>
        <w:pStyle w:val="Compact"/>
        <w:numPr>
          <w:ilvl w:val="0"/>
          <w:numId w:val="1082"/>
        </w:numPr>
      </w:pPr>
      <w:r>
        <w:t xml:space="preserve">technical documentation regarding the algorithm used to generate the backscatter estimates is expressed as URLs or DOIs</w:t>
      </w:r>
    </w:p>
    <w:p>
      <w:pPr>
        <w:pStyle w:val="Compact"/>
        <w:numPr>
          <w:ilvl w:val="0"/>
          <w:numId w:val="1082"/>
        </w:numPr>
      </w:pPr>
      <w:r>
        <w:t xml:space="preserve">the sources of auxiliary data used to make corrections</w:t>
      </w:r>
    </w:p>
    <w:p>
      <w:pPr>
        <w:pStyle w:val="FirstParagraph"/>
      </w:pPr>
      <w:r>
        <w:t xml:space="preserve">Note:</w:t>
      </w:r>
    </w:p>
    <w:p>
      <w:pPr>
        <w:pStyle w:val="Compact"/>
        <w:numPr>
          <w:ilvl w:val="0"/>
          <w:numId w:val="1083"/>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6"/>
        </w:numPr>
      </w:pPr>
      <w:r>
        <w:t xml:space="preserve">Measurement Type (Flattened Phase)</w:t>
      </w:r>
    </w:p>
    <w:p>
      <w:pPr>
        <w:pStyle w:val="Compact"/>
        <w:numPr>
          <w:ilvl w:val="0"/>
          <w:numId w:val="1086"/>
        </w:numPr>
      </w:pPr>
      <w:r>
        <w:t xml:space="preserve">Reference Polarization (HH/HV/VV/VH)</w:t>
      </w:r>
    </w:p>
    <w:p>
      <w:pPr>
        <w:pStyle w:val="Compact"/>
        <w:numPr>
          <w:ilvl w:val="0"/>
          <w:numId w:val="1086"/>
        </w:numPr>
      </w:pPr>
      <w:r>
        <w:t xml:space="preserve">Data Format (GeoTIFF, HDF5, NetCDF, …)</w:t>
      </w:r>
    </w:p>
    <w:p>
      <w:pPr>
        <w:pStyle w:val="Compact"/>
        <w:numPr>
          <w:ilvl w:val="0"/>
          <w:numId w:val="1086"/>
        </w:numPr>
      </w:pPr>
      <w:r>
        <w:t xml:space="preserve">Data Type (Int,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8"/>
        </w:numPr>
      </w:pPr>
      <w:r>
        <w:t xml:space="preserve">A metadata citable peer-reviewed algorithm</w:t>
      </w:r>
    </w:p>
    <w:p>
      <w:pPr>
        <w:pStyle w:val="Compact"/>
        <w:numPr>
          <w:ilvl w:val="0"/>
          <w:numId w:val="1088"/>
        </w:numPr>
      </w:pPr>
      <w:r>
        <w:t xml:space="preserve">Technical documentation regarding the implementation of that algorithm expressed as URLs or DOIs</w:t>
      </w:r>
    </w:p>
    <w:p>
      <w:pPr>
        <w:pStyle w:val="Compact"/>
        <w:numPr>
          <w:ilvl w:val="0"/>
          <w:numId w:val="1088"/>
        </w:numPr>
      </w:pPr>
      <w:r>
        <w:t xml:space="preserve">The sources of auxiliary data used to make corrections</w:t>
      </w:r>
    </w:p>
    <w:p>
      <w:pPr>
        <w:pStyle w:val="Compact"/>
        <w:numPr>
          <w:ilvl w:val="0"/>
          <w:numId w:val="1088"/>
        </w:numPr>
      </w:pPr>
      <w:r>
        <w:t xml:space="preserve">Resampling method used for geometric processing of the source data</w:t>
      </w:r>
    </w:p>
    <w:p>
      <w:pPr>
        <w:pStyle w:val="FirstParagraph"/>
      </w:pPr>
      <w:r>
        <w:t xml:space="preserve">Note:</w:t>
      </w:r>
    </w:p>
    <w:p>
      <w:pPr>
        <w:pStyle w:val="Compact"/>
        <w:numPr>
          <w:ilvl w:val="0"/>
          <w:numId w:val="1089"/>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1"/>
        </w:numPr>
      </w:pPr>
      <w:r>
        <w:t xml:space="preserve">During ortho-rectification, the data provider shall use the same DEM that was used for the radiometric terrain flattening to ensure consistency of the data stack.</w:t>
      </w:r>
    </w:p>
    <w:p>
      <w:pPr>
        <w:pStyle w:val="Compact"/>
        <w:numPr>
          <w:ilvl w:val="0"/>
          <w:numId w:val="1091"/>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1"/>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2"/>
        </w:numPr>
      </w:pPr>
      <w:r>
        <w:t xml:space="preserve">A DEM with comparable or better resolution to the resolution of the output CEOS-ARD product shall be used if available. Else, the upsampled DEM is identified.</w:t>
      </w:r>
    </w:p>
    <w:p>
      <w:pPr>
        <w:pStyle w:val="Compact"/>
        <w:numPr>
          <w:ilvl w:val="0"/>
          <w:numId w:val="1092"/>
        </w:numPr>
      </w:pPr>
      <w:r>
        <w:t xml:space="preserve">Resampling method used for preparation of the DEM.</w:t>
      </w:r>
    </w:p>
    <w:p>
      <w:pPr>
        <w:pStyle w:val="Compact"/>
        <w:numPr>
          <w:ilvl w:val="0"/>
          <w:numId w:val="1092"/>
        </w:numPr>
      </w:pPr>
      <w:r>
        <w:t xml:space="preserve">Method used for resampling the EGM.</w:t>
      </w:r>
    </w:p>
    <w:bookmarkEnd w:id="229"/>
    <w:bookmarkStart w:id="230"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4"/>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4"/>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4"/>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7"/>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8"/>
        </w:numPr>
      </w:pPr>
      <w:r>
        <w:t xml:space="preserve">Threshold Self-Assessment:</w:t>
      </w:r>
    </w:p>
    <w:p>
      <w:pPr>
        <w:pStyle w:val="Compact"/>
        <w:numPr>
          <w:ilvl w:val="0"/>
          <w:numId w:val="1098"/>
        </w:numPr>
      </w:pPr>
      <w:r>
        <w:t xml:space="preserve">Goal Self-Assessment:</w:t>
      </w:r>
    </w:p>
    <w:p>
      <w:pPr>
        <w:pStyle w:val="Compact"/>
        <w:numPr>
          <w:ilvl w:val="0"/>
          <w:numId w:val="1098"/>
        </w:numPr>
      </w:pPr>
      <w:r>
        <w:t xml:space="preserve">Self-Assessment Explanation/ Justification:</w:t>
      </w:r>
    </w:p>
    <w:p>
      <w:pPr>
        <w:pStyle w:val="Compact"/>
        <w:numPr>
          <w:ilvl w:val="0"/>
          <w:numId w:val="1098"/>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9"/>
        </w:numPr>
      </w:pPr>
      <w:r>
        <w:t xml:space="preserve">that product has been assessed as meeting CEOS-ARD requirements by the agency responsible for production and distribution of the product, and</w:t>
      </w:r>
    </w:p>
    <w:p>
      <w:pPr>
        <w:pStyle w:val="Compact"/>
        <w:numPr>
          <w:ilvl w:val="0"/>
          <w:numId w:val="1099"/>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89" w:name="references"/>
    <w:p>
      <w:pPr>
        <w:pStyle w:val="berschrift2"/>
      </w:pPr>
      <w:r>
        <w:t xml:space="preserve">References</w:t>
      </w:r>
    </w:p>
    <w:bookmarkStart w:id="288" w:name="refs"/>
    <w:bookmarkStart w:id="260"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59">
        <w:r>
          <w:rPr>
            <w:rStyle w:val="Hyperlink"/>
          </w:rPr>
          <w:t xml:space="preserve">https://doi.org/10.1109/36.499784</w:t>
        </w:r>
      </w:hyperlink>
      <w:r>
        <w:t xml:space="preserve">.</w:t>
      </w:r>
    </w:p>
    <w:bookmarkEnd w:id="260"/>
    <w:bookmarkStart w:id="262"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1">
        <w:r>
          <w:rPr>
            <w:rStyle w:val="Hyperlink"/>
          </w:rPr>
          <w:t xml:space="preserve">https://doi.org/10.1109/36.485127</w:t>
        </w:r>
      </w:hyperlink>
      <w:r>
        <w:t xml:space="preserve">.</w:t>
      </w:r>
    </w:p>
    <w:bookmarkEnd w:id="262"/>
    <w:bookmarkStart w:id="26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63">
        <w:r>
          <w:rPr>
            <w:rStyle w:val="Hyperlink"/>
          </w:rPr>
          <w:t xml:space="preserve">https://doi.org/10.5281/zenodo.17801666</w:t>
        </w:r>
      </w:hyperlink>
      <w:r>
        <w:t xml:space="preserve">.</w:t>
      </w:r>
    </w:p>
    <w:bookmarkEnd w:id="264"/>
    <w:bookmarkStart w:id="266"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65">
        <w:r>
          <w:rPr>
            <w:rStyle w:val="Hyperlink"/>
          </w:rPr>
          <w:t xml:space="preserve">https://doi.org/10.1109/36.673687</w:t>
        </w:r>
      </w:hyperlink>
      <w:r>
        <w:t xml:space="preserve">.</w:t>
      </w:r>
    </w:p>
    <w:bookmarkEnd w:id="266"/>
    <w:bookmarkStart w:id="268"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67">
        <w:r>
          <w:rPr>
            <w:rStyle w:val="Hyperlink"/>
          </w:rPr>
          <w:t xml:space="preserve">https://doi.org/10.1080/2150704X.2012.687470</w:t>
        </w:r>
      </w:hyperlink>
      <w:r>
        <w:t xml:space="preserve">.</w:t>
      </w:r>
    </w:p>
    <w:bookmarkEnd w:id="268"/>
    <w:bookmarkStart w:id="26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9"/>
    <w:bookmarkStart w:id="27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70"/>
    <w:bookmarkStart w:id="271"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1"/>
    <w:bookmarkStart w:id="273"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2">
        <w:r>
          <w:rPr>
            <w:rStyle w:val="Hyperlink"/>
          </w:rPr>
          <w:t xml:space="preserve">https://doi.org/10.1109/TGRS.2008.2002881</w:t>
        </w:r>
      </w:hyperlink>
      <w:r>
        <w:t xml:space="preserve">.</w:t>
      </w:r>
    </w:p>
    <w:bookmarkEnd w:id="273"/>
    <w:bookmarkStart w:id="275"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4">
        <w:r>
          <w:rPr>
            <w:rStyle w:val="Hyperlink"/>
          </w:rPr>
          <w:t xml:space="preserve">https://doi.org/10.1029/2011JE003986</w:t>
        </w:r>
      </w:hyperlink>
      <w:r>
        <w:t xml:space="preserve">.</w:t>
      </w:r>
    </w:p>
    <w:bookmarkEnd w:id="275"/>
    <w:bookmarkStart w:id="27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76">
        <w:r>
          <w:rPr>
            <w:rStyle w:val="Hyperlink"/>
          </w:rPr>
          <w:t xml:space="preserve">https://doi.org/10.1109/TGRS.2022.3147472</w:t>
        </w:r>
      </w:hyperlink>
      <w:r>
        <w:t xml:space="preserve">.</w:t>
      </w:r>
    </w:p>
    <w:bookmarkEnd w:id="277"/>
    <w:bookmarkStart w:id="27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8">
        <w:r>
          <w:rPr>
            <w:rStyle w:val="Hyperlink"/>
          </w:rPr>
          <w:t xml:space="preserve">https://doi.org/10.1109/TGRS.2011.2120616</w:t>
        </w:r>
      </w:hyperlink>
      <w:r>
        <w:t xml:space="preserve">.</w:t>
      </w:r>
    </w:p>
    <w:bookmarkEnd w:id="279"/>
    <w:bookmarkStart w:id="281"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0">
        <w:r>
          <w:rPr>
            <w:rStyle w:val="Hyperlink"/>
          </w:rPr>
          <w:t xml:space="preserve">https://doi.org/10.1109/TGRS.2012.2233206</w:t>
        </w:r>
      </w:hyperlink>
      <w:r>
        <w:t xml:space="preserve">.</w:t>
      </w:r>
    </w:p>
    <w:bookmarkEnd w:id="281"/>
    <w:bookmarkStart w:id="283"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2">
        <w:r>
          <w:rPr>
            <w:rStyle w:val="Hyperlink"/>
          </w:rPr>
          <w:t xml:space="preserve">https://doi.org/10.1109/TGRS.2010.2099124</w:t>
        </w:r>
      </w:hyperlink>
      <w:r>
        <w:t xml:space="preserve">.</w:t>
      </w:r>
    </w:p>
    <w:bookmarkEnd w:id="283"/>
    <w:bookmarkStart w:id="285"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4">
        <w:r>
          <w:rPr>
            <w:rStyle w:val="Hyperlink"/>
          </w:rPr>
          <w:t xml:space="preserve">https://doi.org/10.1109/LGRS.2017.2753580</w:t>
        </w:r>
      </w:hyperlink>
      <w:r>
        <w:t xml:space="preserve">.</w:t>
      </w:r>
    </w:p>
    <w:bookmarkEnd w:id="285"/>
    <w:bookmarkStart w:id="287"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6">
        <w:r>
          <w:rPr>
            <w:rStyle w:val="Hyperlink"/>
          </w:rPr>
          <w:t xml:space="preserve">https://doi.org/10.1109/TGRS.2010.2051333</w:t>
        </w:r>
      </w:hyperlink>
      <w:r>
        <w:t xml:space="preserve">.</w:t>
      </w:r>
    </w:p>
    <w:bookmarkEnd w:id="287"/>
    <w:bookmarkEnd w:id="288"/>
    <w:p>
      <w:r>
        <w:br w:type="page"/>
      </w:r>
    </w:p>
    <w:bookmarkEnd w:id="289"/>
    <w:bookmarkStart w:id="313" w:name="annexes"/>
    <w:p>
      <w:pPr>
        <w:pStyle w:val="berschrift2"/>
      </w:pPr>
      <w:r>
        <w:t xml:space="preserve">Annexes</w:t>
      </w:r>
    </w:p>
    <w:bookmarkStart w:id="291"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0"/>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0"/>
        </w:numPr>
      </w:pPr>
      <w:r>
        <w:t xml:space="preserve">Apply instrument calibration to produce Beta-Nought values with high fidelity.</w:t>
      </w:r>
    </w:p>
    <w:p>
      <w:pPr>
        <w:pStyle w:val="Compact"/>
        <w:numPr>
          <w:ilvl w:val="0"/>
          <w:numId w:val="1100"/>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0"/>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0"/>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0"/>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0"/>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0"/>
        </w:numPr>
      </w:pPr>
      <w:r>
        <w:t xml:space="preserve">Generate CEOS format metadata to accompany product layers.</w:t>
      </w:r>
    </w:p>
    <w:p>
      <w:pPr>
        <w:pStyle w:val="Compact"/>
        <w:numPr>
          <w:ilvl w:val="0"/>
          <w:numId w:val="1100"/>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0"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0"/>
    <w:bookmarkEnd w:id="291"/>
    <w:bookmarkStart w:id="298"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w:t>
        </w:r>
      </w:hyperlink>
      <w:r>
        <w:t xml:space="preserve"> </w:t>
      </w:r>
      <w:r>
        <w:t xml:space="preserve">for fully polarimetric data (C3) and in Eq. </w:t>
      </w:r>
      <w:hyperlink w:anchor="eq:sar-pol-covmat-eq3">
        <w:r>
          <w:rPr>
            <w:rStyle w:val="Hyperlink"/>
          </w:rPr>
          <w:t xml:space="preserve">3</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2"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m:t>
          </m:r>
          <m:r>
            <m:rPr>
              <m:sty m:val="p"/>
            </m:rPr>
            <m:t>)</m:t>
          </m:r>
        </m:oMath>
      </m:oMathPara>
      <w:bookmarkEnd w:id="292"/>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3"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2</m:t>
          </m:r>
          <m:r>
            <m:rPr>
              <m:sty m:val="p"/>
            </m:rPr>
            <m:t>)</m:t>
          </m:r>
        </m:oMath>
      </m:oMathPara>
      <w:bookmarkEnd w:id="293"/>
    </w:p>
    <w:p>
      <w:pPr>
        <w:pStyle w:val="FirstParagraph"/>
      </w:pPr>
      <w:bookmarkStart w:id="294"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3</m:t>
          </m:r>
          <m:r>
            <m:rPr>
              <m:sty m:val="p"/>
            </m:rPr>
            <m:t>)</m:t>
          </m:r>
        </m:oMath>
      </m:oMathPara>
      <w:bookmarkEnd w:id="294"/>
    </w:p>
    <w:p>
      <w:pPr>
        <w:pStyle w:val="FirstParagraph"/>
      </w:pPr>
      <w:bookmarkStart w:id="295"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4</m:t>
          </m:r>
          <m:r>
            <m:rPr>
              <m:sty m:val="p"/>
            </m:rPr>
            <m:t>)</m:t>
          </m:r>
        </m:oMath>
      </m:oMathPara>
      <w:bookmarkEnd w:id="295"/>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w:t>
        </w:r>
      </w:hyperlink>
      <w:r>
        <w:t xml:space="preserve"> </w:t>
      </w:r>
      <w:r>
        <w:t xml:space="preserve">should be redefined as Eq. </w:t>
      </w:r>
      <w:hyperlink w:anchor="eq:sar-pol-covmat-eq5">
        <w:r>
          <w:rPr>
            <w:rStyle w:val="Hyperlink"/>
          </w:rPr>
          <w:t xml:space="preserve">5</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5</w:t>
        </w:r>
      </w:hyperlink>
      <w:r>
        <w:t xml:space="preserve"> </w:t>
      </w:r>
      <w:r>
        <w:t xml:space="preserve">is valid both for dual-linear and fully polarimetric dataquad polarization.</w:t>
      </w:r>
    </w:p>
    <w:p>
      <w:pPr>
        <w:pStyle w:val="Textkrper"/>
      </w:pPr>
      <w:bookmarkStart w:id="296"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5</m:t>
          </m:r>
          <m:r>
            <m:rPr>
              <m:sty m:val="p"/>
            </m:rPr>
            <m:t>)</m:t>
          </m:r>
        </m:oMath>
      </m:oMathPara>
      <w:bookmarkEnd w:id="296"/>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6</w:t>
        </w:r>
      </w:hyperlink>
      <w:r>
        <w:t xml:space="preserve">) permit faster and more intuitive RGB visualizations (R=RR, G=RR/(RR+RL), B= RL).</w:t>
      </w:r>
    </w:p>
    <w:p>
      <w:pPr>
        <w:pStyle w:val="Textkrper"/>
      </w:pPr>
      <w:bookmarkStart w:id="297"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6</m:t>
          </m:r>
          <m:r>
            <m:rPr>
              <m:sty m:val="p"/>
            </m:rPr>
            <m:t>)</m:t>
          </m:r>
        </m:oMath>
      </m:oMathPara>
      <w:bookmarkEnd w:id="297"/>
    </w:p>
    <w:bookmarkEnd w:id="298"/>
    <w:bookmarkStart w:id="303"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00"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101"/>
        </w:numPr>
      </w:pPr>
      <w:r>
        <w:t xml:space="preserve">Pauli decomposition (3 layers)</w:t>
      </w:r>
    </w:p>
    <w:p>
      <w:pPr>
        <w:pStyle w:val="Compact"/>
        <w:numPr>
          <w:ilvl w:val="0"/>
          <w:numId w:val="1102"/>
        </w:numPr>
      </w:pPr>
      <m:oMath>
        <m:r>
          <m:rPr>
            <m:sty m:val="p"/>
          </m:rPr>
          <m:t>|</m:t>
        </m:r>
        <m:r>
          <m:t>α</m:t>
        </m:r>
        <m:sSup>
          <m:e>
            <m:r>
              <m:rPr>
                <m:sty m:val="p"/>
              </m:rPr>
              <m:t>|</m:t>
            </m:r>
          </m:e>
          <m:sup>
            <m:r>
              <m:t>2</m:t>
            </m:r>
          </m:sup>
        </m:sSup>
      </m:oMath>
      <w:r>
        <w:t xml:space="preserve">: sphere (odd-bounce interaction) [Intensity]</w:t>
      </w:r>
    </w:p>
    <w:p>
      <w:pPr>
        <w:pStyle w:val="Compact"/>
        <w:numPr>
          <w:ilvl w:val="0"/>
          <w:numId w:val="1102"/>
        </w:numPr>
      </w:pPr>
      <m:oMath>
        <m:r>
          <m:rPr>
            <m:sty m:val="p"/>
          </m:rPr>
          <m:t>|</m:t>
        </m:r>
        <m:r>
          <m:t>β</m:t>
        </m:r>
        <m:sSup>
          <m:e>
            <m:r>
              <m:rPr>
                <m:sty m:val="p"/>
              </m:rPr>
              <m:t>|</m:t>
            </m:r>
          </m:e>
          <m:sup>
            <m:r>
              <m:t>2</m:t>
            </m:r>
          </m:sup>
        </m:sSup>
      </m:oMath>
      <w:r>
        <w:t xml:space="preserve">: 0° diplane (even-bounce interaction) [Intensity]</w:t>
      </w:r>
    </w:p>
    <w:p>
      <w:pPr>
        <w:pStyle w:val="Compact"/>
        <w:numPr>
          <w:ilvl w:val="0"/>
          <w:numId w:val="1102"/>
        </w:numPr>
      </w:pPr>
      <m:oMath>
        <m:r>
          <m:rPr>
            <m:sty m:val="p"/>
          </m:rPr>
          <m:t>|</m:t>
        </m:r>
        <m:r>
          <m:t>γ</m:t>
        </m:r>
        <m:sSup>
          <m:e>
            <m:r>
              <m:rPr>
                <m:sty m:val="p"/>
              </m:rPr>
              <m:t>|</m:t>
            </m:r>
          </m:e>
          <m:sup>
            <m:r>
              <m:t>2</m:t>
            </m:r>
          </m:sup>
        </m:sSup>
      </m:oMath>
      <w:r>
        <w:t xml:space="preserve">: 45° diplane (volumetric interaction) [Intensity]</w:t>
      </w:r>
    </w:p>
    <w:p>
      <w:pPr>
        <w:pStyle w:val="Compact"/>
        <w:numPr>
          <w:ilvl w:val="0"/>
          <w:numId w:val="1103"/>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4"/>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4"/>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4"/>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4"/>
        </w:numPr>
      </w:pPr>
      <m:oMath>
        <m:r>
          <m:t>θ</m:t>
        </m:r>
      </m:oMath>
      <w:r>
        <w:t xml:space="preserve">: orientation angle [degrees]</w:t>
      </w:r>
    </w:p>
    <w:p>
      <w:pPr>
        <w:pStyle w:val="Compact"/>
        <w:numPr>
          <w:ilvl w:val="0"/>
          <w:numId w:val="1104"/>
        </w:numPr>
      </w:pPr>
      <m:oMath>
        <m:sSub>
          <m:e>
            <m:r>
              <m:rPr>
                <m:sty m:val="p"/>
              </m:rPr>
              <m:t>Φ</m:t>
            </m:r>
          </m:e>
          <m:sub>
            <m:r>
              <m:t>s</m:t>
            </m:r>
          </m:sub>
        </m:sSub>
      </m:oMath>
      <w:r>
        <w:t xml:space="preserve">: sphere to diplane angle [degrees]</w:t>
      </w:r>
    </w:p>
    <w:p>
      <w:pPr>
        <w:pStyle w:val="Compact"/>
        <w:numPr>
          <w:ilvl w:val="0"/>
          <w:numId w:val="1105"/>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299"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299"/>
    <w:bookmarkEnd w:id="300"/>
    <w:bookmarkStart w:id="302"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6"/>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01"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01"/>
    <w:p>
      <w:pPr>
        <w:pStyle w:val="Compact"/>
        <w:numPr>
          <w:ilvl w:val="0"/>
          <w:numId w:val="1107"/>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8"/>
        </w:numPr>
      </w:pPr>
      <m:oMath>
        <m:r>
          <m:t>H</m:t>
        </m:r>
      </m:oMath>
      <w:r>
        <w:t xml:space="preserve"> </w:t>
      </w:r>
      <w:r>
        <w:t xml:space="preserve">: Entropy [ ] is the polarization diversity</w:t>
      </w:r>
    </w:p>
    <w:p>
      <w:pPr>
        <w:pStyle w:val="Compact"/>
        <w:numPr>
          <w:ilvl w:val="0"/>
          <w:numId w:val="1108"/>
        </w:numPr>
      </w:pPr>
      <m:oMath>
        <m:r>
          <m:t>A</m:t>
        </m:r>
      </m:oMath>
      <w:r>
        <w:t xml:space="preserve"> </w:t>
      </w:r>
      <w:r>
        <w:t xml:space="preserve">: Anisotropy [ ] is weighted difference between the 2ⁿᵈ and 3ʳᵈ eigenvalues</w:t>
      </w:r>
    </w:p>
    <w:p>
      <w:pPr>
        <w:pStyle w:val="Compact"/>
        <w:numPr>
          <w:ilvl w:val="0"/>
          <w:numId w:val="1108"/>
        </w:numPr>
      </w:pPr>
      <m:oMath>
        <m:r>
          <m:t>α</m:t>
        </m:r>
      </m:oMath>
      <w:r>
        <w:t xml:space="preserve"> </w:t>
      </w:r>
      <w:r>
        <w:t xml:space="preserve">: Odd-even bounce angle [Degrees]</w:t>
      </w:r>
    </w:p>
    <w:p>
      <w:pPr>
        <w:pStyle w:val="Compact"/>
        <w:numPr>
          <w:ilvl w:val="0"/>
          <w:numId w:val="1108"/>
        </w:numPr>
      </w:pPr>
      <m:oMath>
        <m:r>
          <m:t>β</m:t>
        </m:r>
      </m:oMath>
      <w:r>
        <w:t xml:space="preserve"> </w:t>
      </w:r>
      <w:r>
        <w:t xml:space="preserve">: orientation angle [Degrees]</w:t>
      </w:r>
    </w:p>
    <w:bookmarkEnd w:id="302"/>
    <w:bookmarkEnd w:id="303"/>
    <w:bookmarkStart w:id="312"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07"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05" name="Picture"/>
            <a:graphic>
              <a:graphicData uri="http://schemas.openxmlformats.org/drawingml/2006/picture">
                <pic:pic>
                  <pic:nvPicPr>
                    <pic:cNvPr descr="assets/sar-pol-examples/pol-decomposition.jpeg" id="306" name="Picture"/>
                    <pic:cNvPicPr>
                      <a:picLocks noChangeArrowheads="1" noChangeAspect="1"/>
                    </pic:cNvPicPr>
                  </pic:nvPicPr>
                  <pic:blipFill>
                    <a:blip r:embed="rId304"/>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07"/>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11"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09" name="Picture"/>
            <a:graphic>
              <a:graphicData uri="http://schemas.openxmlformats.org/drawingml/2006/picture">
                <pic:pic>
                  <pic:nvPicPr>
                    <pic:cNvPr descr="assets/sar-pol-examples/m-chi-decomposition.jpeg" id="310" name="Picture"/>
                    <pic:cNvPicPr>
                      <a:picLocks noChangeArrowheads="1" noChangeAspect="1"/>
                    </pic:cNvPicPr>
                  </pic:nvPicPr>
                  <pic:blipFill>
                    <a:blip r:embed="rId308"/>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11"/>
    <w:bookmarkEnd w:id="312"/>
    <w:bookmarkEnd w:id="313"/>
    <w:bookmarkEnd w:id="31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 w:numId="11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08" Target="media/rId308.jpg" /><Relationship Type="http://schemas.openxmlformats.org/officeDocument/2006/relationships/image" Id="rId304" Target="media/rId304.jp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3.6.0-draft</dc:title>
  <dc:creator/>
  <dc:language>en</dc:language>
  <cp:keywords/>
  <dcterms:created xsi:type="dcterms:W3CDTF">2026-09-15T19:03:08Z</dcterms:created>
  <dcterms:modified xsi:type="dcterms:W3CDTF">2026-09-15T19:03:08Z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