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426" w:name="ceos-ard---optical---aquatic-reflectance"/>
    <w:p>
      <w:pPr>
        <w:pStyle w:val="berschrift1"/>
      </w:pPr>
      <w:r>
        <w:t xml:space="preserve">CEOS-ARD - Optical - Aquatic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Aquatic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2026-04-13 (PATCH)</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definitions are included in the document instead of referring to the CEOS Terms and Defintions Wiki</w:t>
      </w:r>
    </w:p>
    <w:p>
      <w:pPr>
        <w:pStyle w:val="Compact"/>
        <w:numPr>
          <w:ilvl w:val="0"/>
          <w:numId w:val="1001"/>
        </w:numPr>
      </w:pPr>
      <w:r>
        <w:t xml:space="preserve">The references are not grouped by requirements and threshold/goal any longer. Instead, they are listed in the requirements as a note.</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The requirement references (i.e. </w:t>
      </w:r>
      <w:r>
        <w:t xml:space="preserve">“3.1-3.3”</w:t>
      </w:r>
      <w:r>
        <w:t xml:space="preserve"> </w:t>
      </w:r>
      <w:r>
        <w:t xml:space="preserve">and</w:t>
      </w:r>
      <w:r>
        <w:t xml:space="preserve"> </w:t>
      </w:r>
      <w:r>
        <w:t xml:space="preserve">“3.4 onwards”</w:t>
      </w:r>
      <w:r>
        <w:t xml:space="preserve">) were removed from the category description of</w:t>
      </w:r>
      <w:r>
        <w:t xml:space="preserve"> </w:t>
      </w:r>
      <w:r>
        <w:t xml:space="preserve">“Products and Algorithms”</w:t>
      </w:r>
      <w:r>
        <w:t xml:space="preserve">.</w:t>
      </w:r>
    </w:p>
    <w:p>
      <w:pPr>
        <w:pStyle w:val="Compact"/>
        <w:numPr>
          <w:ilvl w:val="0"/>
          <w:numId w:val="1001"/>
        </w:numPr>
      </w:pPr>
      <w:r>
        <w:t xml:space="preserve">If no threshold requirement applies, the wording has been made consistent (e.g. former req. 1.7 and 1.8).</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5" w:name="contributing-authors"/>
    <w:p>
      <w:pPr>
        <w:pStyle w:val="berschrift2"/>
      </w:pPr>
      <w:r>
        <w:t xml:space="preserve">Contributing Authors</w:t>
      </w:r>
    </w:p>
    <w:bookmarkStart w:id="32" w:name="technical-leads"/>
    <w:p>
      <w:pPr>
        <w:pStyle w:val="berschrift3"/>
      </w:pPr>
      <w:r>
        <w:t xml:space="preserve">Technical Leads</w:t>
      </w:r>
    </w:p>
    <w:p>
      <w:pPr>
        <w:pStyle w:val="Compact"/>
        <w:numPr>
          <w:ilvl w:val="0"/>
          <w:numId w:val="1002"/>
        </w:numPr>
      </w:pPr>
      <w:r>
        <w:t xml:space="preserve">Arnold Dekker (CSIRO)</w:t>
      </w:r>
    </w:p>
    <w:p>
      <w:pPr>
        <w:pStyle w:val="Compact"/>
        <w:numPr>
          <w:ilvl w:val="0"/>
          <w:numId w:val="1002"/>
        </w:numPr>
      </w:pPr>
      <w:r>
        <w:t xml:space="preserve">Daniela Gurlin (Independent Consultant)</w:t>
      </w:r>
    </w:p>
    <w:bookmarkEnd w:id="32"/>
    <w:bookmarkStart w:id="33" w:name="organisational-leads"/>
    <w:p>
      <w:pPr>
        <w:pStyle w:val="berschrift3"/>
      </w:pPr>
      <w:r>
        <w:t xml:space="preserve">Organisational Leads</w:t>
      </w:r>
    </w:p>
    <w:p>
      <w:pPr>
        <w:pStyle w:val="Compact"/>
        <w:numPr>
          <w:ilvl w:val="0"/>
          <w:numId w:val="1003"/>
        </w:numPr>
      </w:pPr>
      <w:r>
        <w:t xml:space="preserve">Matt Steventon (CEOS-ARD Oversight Group Secretariat)</w:t>
      </w:r>
    </w:p>
    <w:p>
      <w:pPr>
        <w:pStyle w:val="Compact"/>
        <w:numPr>
          <w:ilvl w:val="0"/>
          <w:numId w:val="1003"/>
        </w:numPr>
      </w:pPr>
      <w:r>
        <w:t xml:space="preserve">Harvey Jones (CEOS-ARD Oversight Group Secretariat)</w:t>
      </w:r>
    </w:p>
    <w:bookmarkEnd w:id="33"/>
    <w:bookmarkStart w:id="34" w:name="contributors"/>
    <w:p>
      <w:pPr>
        <w:pStyle w:val="berschrift3"/>
      </w:pPr>
      <w:r>
        <w:t xml:space="preserve">Contributors</w:t>
      </w:r>
    </w:p>
    <w:p>
      <w:pPr>
        <w:pStyle w:val="Compact"/>
        <w:numPr>
          <w:ilvl w:val="0"/>
          <w:numId w:val="1004"/>
        </w:numPr>
      </w:pPr>
      <w:r>
        <w:t xml:space="preserve">Carsten Brockmann (Brockmann Consult)</w:t>
      </w:r>
    </w:p>
    <w:p>
      <w:pPr>
        <w:pStyle w:val="Compact"/>
        <w:numPr>
          <w:ilvl w:val="0"/>
          <w:numId w:val="1004"/>
        </w:numPr>
      </w:pPr>
      <w:r>
        <w:t xml:space="preserve">Vittorio Brando (CNR)</w:t>
      </w:r>
    </w:p>
    <w:p>
      <w:pPr>
        <w:pStyle w:val="Compact"/>
        <w:numPr>
          <w:ilvl w:val="0"/>
          <w:numId w:val="1004"/>
        </w:numPr>
      </w:pPr>
      <w:r>
        <w:t xml:space="preserve">Claudia Giardino (CNR)</w:t>
      </w:r>
    </w:p>
    <w:p>
      <w:pPr>
        <w:pStyle w:val="Compact"/>
        <w:numPr>
          <w:ilvl w:val="0"/>
          <w:numId w:val="1004"/>
        </w:numPr>
      </w:pPr>
      <w:r>
        <w:t xml:space="preserve">Nicole Pinnel (DLR)</w:t>
      </w:r>
    </w:p>
    <w:p>
      <w:pPr>
        <w:pStyle w:val="Compact"/>
        <w:numPr>
          <w:ilvl w:val="0"/>
          <w:numId w:val="1004"/>
        </w:numPr>
      </w:pPr>
      <w:r>
        <w:t xml:space="preserve">Peter Gege (DLR)</w:t>
      </w:r>
    </w:p>
    <w:p>
      <w:pPr>
        <w:pStyle w:val="Compact"/>
        <w:numPr>
          <w:ilvl w:val="0"/>
          <w:numId w:val="1004"/>
        </w:numPr>
      </w:pPr>
      <w:r>
        <w:t xml:space="preserve">Barbara Bulgarelli (EC)</w:t>
      </w:r>
    </w:p>
    <w:p>
      <w:pPr>
        <w:pStyle w:val="Compact"/>
        <w:numPr>
          <w:ilvl w:val="0"/>
          <w:numId w:val="1004"/>
        </w:numPr>
      </w:pPr>
      <w:r>
        <w:t xml:space="preserve">Peter Strobl (EC)</w:t>
      </w:r>
    </w:p>
    <w:p>
      <w:pPr>
        <w:pStyle w:val="Compact"/>
        <w:numPr>
          <w:ilvl w:val="0"/>
          <w:numId w:val="1004"/>
        </w:numPr>
      </w:pPr>
      <w:r>
        <w:t xml:space="preserve">Frédéric Mélin (EC)</w:t>
      </w:r>
    </w:p>
    <w:p>
      <w:pPr>
        <w:pStyle w:val="Compact"/>
        <w:numPr>
          <w:ilvl w:val="0"/>
          <w:numId w:val="1004"/>
        </w:numPr>
      </w:pPr>
      <w:r>
        <w:t xml:space="preserve">Ewa Kwiatkowska (EUMETSAT)</w:t>
      </w:r>
    </w:p>
    <w:p>
      <w:pPr>
        <w:pStyle w:val="Compact"/>
        <w:numPr>
          <w:ilvl w:val="0"/>
          <w:numId w:val="1004"/>
        </w:numPr>
      </w:pPr>
      <w:r>
        <w:t xml:space="preserve">Hayley Evers-King (EUMETSAT)</w:t>
      </w:r>
    </w:p>
    <w:p>
      <w:pPr>
        <w:pStyle w:val="Compact"/>
        <w:numPr>
          <w:ilvl w:val="0"/>
          <w:numId w:val="1004"/>
        </w:numPr>
      </w:pPr>
      <w:r>
        <w:t xml:space="preserve">Andreia Siqueira (GA)</w:t>
      </w:r>
    </w:p>
    <w:p>
      <w:pPr>
        <w:pStyle w:val="Compact"/>
        <w:numPr>
          <w:ilvl w:val="0"/>
          <w:numId w:val="1004"/>
        </w:numPr>
      </w:pPr>
      <w:r>
        <w:t xml:space="preserve">Medhavy Thankappan (GA)</w:t>
      </w:r>
    </w:p>
    <w:p>
      <w:pPr>
        <w:pStyle w:val="Compact"/>
        <w:numPr>
          <w:ilvl w:val="0"/>
          <w:numId w:val="1004"/>
        </w:numPr>
      </w:pPr>
      <w:r>
        <w:t xml:space="preserve">Peter Harrison (GA)</w:t>
      </w:r>
    </w:p>
    <w:p>
      <w:pPr>
        <w:pStyle w:val="Compact"/>
        <w:numPr>
          <w:ilvl w:val="0"/>
          <w:numId w:val="1004"/>
        </w:numPr>
      </w:pPr>
      <w:r>
        <w:t xml:space="preserve">Igor Ogashawara (IGB Berlin)</w:t>
      </w:r>
    </w:p>
    <w:p>
      <w:pPr>
        <w:pStyle w:val="Compact"/>
        <w:numPr>
          <w:ilvl w:val="0"/>
          <w:numId w:val="1004"/>
        </w:numPr>
      </w:pPr>
      <w:r>
        <w:t xml:space="preserve">Raisha Lovindeer (IOCCG)</w:t>
      </w:r>
    </w:p>
    <w:p>
      <w:pPr>
        <w:pStyle w:val="Compact"/>
        <w:numPr>
          <w:ilvl w:val="0"/>
          <w:numId w:val="1004"/>
        </w:numPr>
      </w:pPr>
      <w:r>
        <w:t xml:space="preserve">Hiroshi Murakami (JAXA)</w:t>
      </w:r>
    </w:p>
    <w:p>
      <w:pPr>
        <w:pStyle w:val="Compact"/>
        <w:numPr>
          <w:ilvl w:val="0"/>
          <w:numId w:val="1004"/>
        </w:numPr>
      </w:pPr>
      <w:r>
        <w:t xml:space="preserve">Joseph D. Ortiz (Kent State)</w:t>
      </w:r>
    </w:p>
    <w:p>
      <w:pPr>
        <w:pStyle w:val="Compact"/>
        <w:numPr>
          <w:ilvl w:val="0"/>
          <w:numId w:val="1004"/>
        </w:numPr>
      </w:pPr>
      <w:r>
        <w:t xml:space="preserve">Sean Bailey (NASA)</w:t>
      </w:r>
    </w:p>
    <w:p>
      <w:pPr>
        <w:pStyle w:val="Compact"/>
        <w:numPr>
          <w:ilvl w:val="0"/>
          <w:numId w:val="1004"/>
        </w:numPr>
      </w:pPr>
      <w:r>
        <w:t xml:space="preserve">Nima Pahlevan (NASA)</w:t>
      </w:r>
    </w:p>
    <w:p>
      <w:pPr>
        <w:pStyle w:val="Compact"/>
        <w:numPr>
          <w:ilvl w:val="0"/>
          <w:numId w:val="1004"/>
        </w:numPr>
      </w:pPr>
      <w:r>
        <w:t xml:space="preserve">Anthony Vodacek (RIT)</w:t>
      </w:r>
    </w:p>
    <w:p>
      <w:pPr>
        <w:pStyle w:val="Compact"/>
        <w:numPr>
          <w:ilvl w:val="0"/>
          <w:numId w:val="1004"/>
        </w:numPr>
      </w:pPr>
      <w:r>
        <w:t xml:space="preserve">Heidi Dierssen (University of Connecticut)</w:t>
      </w:r>
    </w:p>
    <w:p>
      <w:pPr>
        <w:pStyle w:val="Compact"/>
        <w:numPr>
          <w:ilvl w:val="0"/>
          <w:numId w:val="1004"/>
        </w:numPr>
      </w:pPr>
      <w:r>
        <w:t xml:space="preserve">Maycira Costa (University of Victoria)</w:t>
      </w:r>
    </w:p>
    <w:p>
      <w:pPr>
        <w:pStyle w:val="Compact"/>
        <w:numPr>
          <w:ilvl w:val="0"/>
          <w:numId w:val="1004"/>
        </w:numPr>
      </w:pPr>
      <w:r>
        <w:t xml:space="preserve">Ben Page (USGS)</w:t>
      </w:r>
    </w:p>
    <w:p>
      <w:pPr>
        <w:pStyle w:val="Compact"/>
        <w:numPr>
          <w:ilvl w:val="0"/>
          <w:numId w:val="1004"/>
        </w:numPr>
      </w:pPr>
      <w:r>
        <w:t xml:space="preserve">Chris Barnes (USGS)</w:t>
      </w:r>
    </w:p>
    <w:p>
      <w:pPr>
        <w:pStyle w:val="Compact"/>
        <w:numPr>
          <w:ilvl w:val="0"/>
          <w:numId w:val="1004"/>
        </w:numPr>
      </w:pPr>
      <w:r>
        <w:t xml:space="preserve">Liesbeth de Keukelare (VITO)</w:t>
      </w:r>
    </w:p>
    <w:p>
      <w:r>
        <w:br w:type="page"/>
      </w:r>
    </w:p>
    <w:bookmarkEnd w:id="34"/>
    <w:bookmarkEnd w:id="35"/>
    <w:bookmarkStart w:id="36"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6"/>
    <w:bookmarkStart w:id="37" w:name="description"/>
    <w:p>
      <w:pPr>
        <w:pStyle w:val="berschrift2"/>
      </w:pPr>
      <w:r>
        <w:t xml:space="preserve">Description</w:t>
      </w:r>
    </w:p>
    <w:p>
      <w:pPr>
        <w:pStyle w:val="FirstParagraph"/>
      </w:pPr>
      <w:r>
        <w:rPr>
          <w:b/>
          <w:bCs/>
        </w:rPr>
        <w:t xml:space="preserve">Product Family Specification:</w:t>
      </w:r>
      <w:r>
        <w:t xml:space="preserve"> </w:t>
      </w:r>
      <w:r>
        <w:t xml:space="preserve">Optical, Aquatic Reflectance (AR)</w:t>
      </w:r>
    </w:p>
    <w:p>
      <w:pPr>
        <w:pStyle w:val="Textkrper"/>
      </w:pPr>
      <w:r>
        <w:rPr>
          <w:b/>
          <w:bCs/>
        </w:rPr>
        <w:t xml:space="preserve">Version:</w:t>
      </w:r>
      <w:r>
        <w:t xml:space="preserve"> </w:t>
      </w:r>
      <w:r>
        <w:t xml:space="preserve">2.0.1-draft</w:t>
      </w:r>
    </w:p>
    <w:p>
      <w:pPr>
        <w:pStyle w:val="Textkrper"/>
      </w:pPr>
      <w:r>
        <w:rPr>
          <w:b/>
          <w:bCs/>
        </w:rPr>
        <w:t xml:space="preserve">Applies to:</w:t>
      </w:r>
      <w:r>
        <w:t xml:space="preserve"> </w:t>
      </w:r>
      <w:r>
        <w:t xml:space="preserve">Data collected with multispectral and hyperspectral imaging sensors operating in the VIS/NIR/SWIR wavelengths over water bodies (including oceans, seas, coastal zones, and inland waters). These typically operate with ground sample distance and resolution in the order of 1-4000 metres however the specification is not inherently limited to these resolutions.</w:t>
      </w:r>
    </w:p>
    <w:p>
      <w:r>
        <w:br w:type="page"/>
      </w:r>
    </w:p>
    <w:bookmarkEnd w:id="37"/>
    <w:bookmarkStart w:id="38" w:name="definitions-and-abbreviations"/>
    <w:p>
      <w:pPr>
        <w:pStyle w:val="berschrift2"/>
      </w:pPr>
      <w:r>
        <w:t xml:space="preserve">Definitions and Abbreviations</w:t>
      </w:r>
    </w:p>
    <w:p>
      <w:pPr>
        <w:pStyle w:val="DefinitionTerm"/>
      </w:pPr>
      <w:r>
        <w:t xml:space="preserve">Ancillary Data</w:t>
      </w:r>
    </w:p>
    <w:p>
      <w:pPr>
        <w:pStyle w:val="Definition"/>
      </w:pPr>
      <w:r>
        <w:t xml:space="preserve">Data other than instrument measurements, originating in the instrument itself or from the satellite, required to perform processing of the data. They include orbit data, attitude data, time information, spacecraft engineering data, calibration data, data quality information, and data from other instruments.</w:t>
      </w:r>
    </w:p>
    <w:p>
      <w:pPr>
        <w:pStyle w:val="DefinitionTerm"/>
      </w:pPr>
      <w:r>
        <w:t xml:space="preserve">AOD</w:t>
      </w:r>
    </w:p>
    <w:p>
      <w:pPr>
        <w:pStyle w:val="Definition"/>
      </w:pPr>
      <w:r>
        <w:t xml:space="preserve">Aerosol Optical Depth</w:t>
      </w:r>
    </w:p>
    <w:p>
      <w:pPr>
        <w:pStyle w:val="DefinitionTerm"/>
      </w:pPr>
      <w:r>
        <w:t xml:space="preserve">AR</w:t>
      </w:r>
    </w:p>
    <w:p>
      <w:pPr>
        <w:pStyle w:val="Definition"/>
      </w:pPr>
      <w:r>
        <w:t xml:space="preserve">Aquatic Reflectance</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BIPM</w:t>
      </w:r>
    </w:p>
    <w:p>
      <w:pPr>
        <w:pStyle w:val="Definition"/>
      </w:pPr>
      <w:r>
        <w:t xml:space="preserve">Bureau International des Poids et Mesures (International Bureau of Weights and Measures)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GSD</w:t>
      </w:r>
    </w:p>
    <w:p>
      <w:pPr>
        <w:pStyle w:val="Definition"/>
      </w:pPr>
      <w:r>
        <w:t xml:space="preserve">Ground Sample Distance</w:t>
      </w:r>
    </w:p>
    <w:p>
      <w:pPr>
        <w:pStyle w:val="DefinitionTerm"/>
      </w:pPr>
      <w:r>
        <w:t xml:space="preserve">GUM</w:t>
      </w:r>
    </w:p>
    <w:p>
      <w:pPr>
        <w:pStyle w:val="Definition"/>
      </w:pPr>
      <w:r>
        <w:t xml:space="preserve">Guide to the Expression of Uncertainty in Measurement</w:t>
      </w:r>
    </w:p>
    <w:p>
      <w:pPr>
        <w:pStyle w:val="DefinitionTerm"/>
      </w:pPr>
      <w:r>
        <w:t xml:space="preserve">NIR</w:t>
      </w:r>
    </w:p>
    <w:p>
      <w:pPr>
        <w:pStyle w:val="Definition"/>
      </w:pPr>
      <w:r>
        <w:t xml:space="preserve">Near Infrared</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8"/>
    <w:bookmarkStart w:id="256"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6"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42"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9"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9"/>
    <w:bookmarkStart w:id="40" w:name="goal-requirements"/>
    <w:p>
      <w:pPr>
        <w:pStyle w:val="berschrift5"/>
      </w:pPr>
      <w:r>
        <w:t xml:space="preserve">Goal requirements:</w:t>
      </w:r>
    </w:p>
    <w:p>
      <w:pPr>
        <w:pStyle w:val="FirstParagraph"/>
      </w:pPr>
      <w:r>
        <w:t xml:space="preserve">As threshold.</w:t>
      </w:r>
      <w:r>
        <w:t xml:space="preserve"> </w:t>
      </w:r>
    </w:p>
    <w:bookmarkEnd w:id="40"/>
    <w:bookmarkStart w:id="41" w:name="assessment"/>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1"/>
    <w:bookmarkEnd w:id="42"/>
    <w:bookmarkStart w:id="46" w:name="sec:meta-trace-ar"/>
    <w:p>
      <w:pPr>
        <w:pStyle w:val="berschrift4"/>
      </w:pPr>
      <w:r>
        <w:rPr>
          <w:rStyle w:val="VerbatimChar"/>
        </w:rPr>
        <w:t xml:space="preserve">1.2.</w:t>
      </w:r>
      <w:r>
        <w:t xml:space="preserve"> </w:t>
      </w:r>
      <w:r>
        <w:t xml:space="preserve">Traceability</w:t>
      </w:r>
    </w:p>
    <w:p>
      <w:pPr>
        <w:pStyle w:val="FirstParagraph"/>
      </w:pPr>
      <w:r>
        <w:t xml:space="preserve">Identifier:</w:t>
      </w:r>
      <w:r>
        <w:t xml:space="preserve"> </w:t>
      </w:r>
      <w:r>
        <w:rPr>
          <w:rStyle w:val="VerbatimChar"/>
        </w:rPr>
        <w:t xml:space="preserve">meta-trace-ar</w:t>
      </w:r>
    </w:p>
    <w:bookmarkStart w:id="43" w:name="threshold-requirements-1"/>
    <w:p>
      <w:pPr>
        <w:pStyle w:val="berschrift5"/>
      </w:pPr>
      <w:r>
        <w:t xml:space="preserve">Threshold requirements:</w:t>
      </w:r>
    </w:p>
    <w:p>
      <w:pPr>
        <w:pStyle w:val="FirstParagraph"/>
      </w:pPr>
      <w:r>
        <w:t xml:space="preserve">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 is given.</w:t>
      </w:r>
    </w:p>
    <w:bookmarkEnd w:id="43"/>
    <w:bookmarkStart w:id="44" w:name="goal-requirements-1"/>
    <w:p>
      <w:pPr>
        <w:pStyle w:val="berschrift5"/>
      </w:pPr>
      <w:r>
        <w:t xml:space="preserve">Goal requirements:</w:t>
      </w:r>
    </w:p>
    <w:p>
      <w:pPr>
        <w:pStyle w:val="FirstParagraph"/>
      </w:pPr>
      <w:r>
        <w:t xml:space="preserve">Data must be traceable to SI reference standard.</w:t>
      </w:r>
    </w:p>
    <w:p>
      <w:pPr>
        <w:pStyle w:val="Textkrper"/>
      </w:pPr>
      <w:r>
        <w:t xml:space="preserve">Note:</w:t>
      </w:r>
    </w:p>
    <w:p>
      <w:pPr>
        <w:pStyle w:val="Compact"/>
        <w:numPr>
          <w:ilvl w:val="0"/>
          <w:numId w:val="1006"/>
        </w:numPr>
      </w:pPr>
      <w:r>
        <w:t xml:space="preserve">Relationship to</w:t>
      </w:r>
      <w:r>
        <w:t xml:space="preserve"> </w:t>
      </w:r>
      <w:hyperlink w:anchor="sec:pral-muncer-ar">
        <w:r>
          <w:rPr>
            <w:rStyle w:val="Hyperlink"/>
          </w:rPr>
          <w:t xml:space="preserve">Products and Algorithms: Measurement Uncertainty</w:t>
        </w:r>
      </w:hyperlink>
      <w:r>
        <w:t xml:space="preserve">. Traceability requires an estimate of measurement uncertainty.</w:t>
      </w:r>
    </w:p>
    <w:bookmarkEnd w:id="44"/>
    <w:bookmarkStart w:id="45" w:name="assessment-1"/>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5"/>
    <w:bookmarkEnd w:id="46"/>
    <w:bookmarkStart w:id="50" w:name="sec:meta-memare-optical"/>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7"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7"/>
    <w:bookmarkStart w:id="48" w:name="goal-requirements-2"/>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8"/>
    <w:bookmarkStart w:id="49" w:name="assessment-2"/>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49"/>
    <w:bookmarkEnd w:id="50"/>
    <w:bookmarkStart w:id="54" w:name="sec:meta-time-ar"/>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meta-time-ar</w:t>
      </w:r>
    </w:p>
    <w:bookmarkStart w:id="51"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bookmarkEnd w:id="51"/>
    <w:bookmarkStart w:id="52"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52"/>
    <w:bookmarkStart w:id="53" w:name="assessment-3"/>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3"/>
    <w:bookmarkEnd w:id="54"/>
    <w:bookmarkStart w:id="58"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5"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5"/>
    <w:bookmarkStart w:id="56"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6"/>
    <w:bookmarkStart w:id="57" w:name="assessment-4"/>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57"/>
    <w:bookmarkEnd w:id="58"/>
    <w:bookmarkStart w:id="62"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9" w:name="threshold-requirements-5"/>
    <w:p>
      <w:pPr>
        <w:pStyle w:val="berschrift5"/>
      </w:pPr>
      <w:r>
        <w:t xml:space="preserve">Threshold requirements:</w:t>
      </w:r>
    </w:p>
    <w:p>
      <w:pPr>
        <w:pStyle w:val="FirstParagraph"/>
      </w:pPr>
      <w:r>
        <w:t xml:space="preserve">The coordinate reference system that has been used is detailed.</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1"/>
    <w:bookmarkEnd w:id="62"/>
    <w:bookmarkStart w:id="66"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3"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3"/>
    <w:bookmarkStart w:id="64" w:name="goal-requirements-6"/>
    <w:p>
      <w:pPr>
        <w:pStyle w:val="berschrift5"/>
      </w:pPr>
      <w:r>
        <w:t xml:space="preserve">Goal requirements:</w:t>
      </w:r>
    </w:p>
    <w:p>
      <w:pPr>
        <w:pStyle w:val="FirstParagraph"/>
      </w:pPr>
      <w:r>
        <w:t xml:space="preserve">As threshold.</w:t>
      </w:r>
      <w:r>
        <w:t xml:space="preserve"> </w:t>
      </w:r>
    </w:p>
    <w:bookmarkEnd w:id="64"/>
    <w:bookmarkStart w:id="65" w:name="assessment-6"/>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5"/>
    <w:bookmarkEnd w:id="66"/>
    <w:bookmarkStart w:id="70" w:name="sec:meta-geocorm-ar"/>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meta-geocorm-ar</w:t>
      </w:r>
    </w:p>
    <w:bookmarkStart w:id="67" w:name="threshold-requirements-7"/>
    <w:p>
      <w:pPr>
        <w:pStyle w:val="berschrift5"/>
      </w:pPr>
      <w:r>
        <w:t xml:space="preserve">Threshold requirements:</w:t>
      </w:r>
    </w:p>
    <w:p>
      <w:pPr>
        <w:pStyle w:val="FirstParagraph"/>
      </w:pPr>
      <w:r>
        <w:t xml:space="preserve">Not required.</w:t>
      </w:r>
      <w:r>
        <w:t xml:space="preserve"> </w:t>
      </w:r>
    </w:p>
    <w:bookmarkEnd w:id="67"/>
    <w:bookmarkStart w:id="68"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w:t>
      </w:r>
    </w:p>
    <w:bookmarkEnd w:id="68"/>
    <w:bookmarkStart w:id="69" w:name="assessment-7"/>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69"/>
    <w:bookmarkEnd w:id="70"/>
    <w:bookmarkStart w:id="74" w:name="sec:meta-geounc"/>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w:t>
      </w:r>
    </w:p>
    <w:bookmarkStart w:id="71" w:name="threshold-requirements-8"/>
    <w:p>
      <w:pPr>
        <w:pStyle w:val="berschrift5"/>
      </w:pPr>
      <w:r>
        <w:t xml:space="preserve">Threshold requirements:</w:t>
      </w:r>
    </w:p>
    <w:p>
      <w:pPr>
        <w:pStyle w:val="FirstParagraph"/>
      </w:pPr>
      <w:r>
        <w:t xml:space="preserve">Not required.</w:t>
      </w:r>
      <w:r>
        <w:t xml:space="preserve"> </w:t>
      </w:r>
    </w:p>
    <w:bookmarkEnd w:id="71"/>
    <w:bookmarkStart w:id="72"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w:t>
      </w:r>
    </w:p>
    <w:bookmarkEnd w:id="72"/>
    <w:bookmarkStart w:id="73" w:name="assessment-8"/>
    <w:p>
      <w:pPr>
        <w:pStyle w:val="berschrift5"/>
      </w:pPr>
      <w:r>
        <w:t xml:space="preserve">Assessment:</w:t>
      </w:r>
    </w:p>
    <w:p>
      <w:pPr>
        <w:pStyle w:val="Compact"/>
        <w:numPr>
          <w:ilvl w:val="0"/>
          <w:numId w:val="1014"/>
        </w:numPr>
      </w:pPr>
      <w:r>
        <w:t xml:space="preserve">Threshold Self-Assessment:</w:t>
      </w:r>
    </w:p>
    <w:p>
      <w:pPr>
        <w:pStyle w:val="Compact"/>
        <w:numPr>
          <w:ilvl w:val="0"/>
          <w:numId w:val="1014"/>
        </w:numPr>
      </w:pPr>
      <w:r>
        <w:t xml:space="preserve">Goal Self-Assessment:</w:t>
      </w:r>
    </w:p>
    <w:p>
      <w:pPr>
        <w:pStyle w:val="Compact"/>
        <w:numPr>
          <w:ilvl w:val="0"/>
          <w:numId w:val="1014"/>
        </w:numPr>
      </w:pPr>
      <w:r>
        <w:t xml:space="preserve">Self-Assessment Explanation/ Justification:</w:t>
      </w:r>
    </w:p>
    <w:p>
      <w:pPr>
        <w:pStyle w:val="Compact"/>
        <w:numPr>
          <w:ilvl w:val="0"/>
          <w:numId w:val="1014"/>
        </w:numPr>
      </w:pPr>
      <w:r>
        <w:t xml:space="preserve">Recommended Requirement Modification:</w:t>
      </w:r>
    </w:p>
    <w:p>
      <w:r>
        <w:pict>
          <v:rect style="width:0;height:1.5pt" o:hralign="center" o:hrstd="t" o:hr="t"/>
        </w:pict>
      </w:r>
    </w:p>
    <w:bookmarkEnd w:id="73"/>
    <w:bookmarkEnd w:id="74"/>
    <w:bookmarkStart w:id="79" w:name="sec:meta-instru-ar"/>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meta-instru-ar</w:t>
      </w:r>
    </w:p>
    <w:bookmarkStart w:id="75" w:name="threshold-requirements-9"/>
    <w:p>
      <w:pPr>
        <w:pStyle w:val="berschrift5"/>
      </w:pPr>
      <w:r>
        <w:t xml:space="preserve">Threshold requirements:</w:t>
      </w:r>
    </w:p>
    <w:p>
      <w:pPr>
        <w:pStyle w:val="FirstParagraph"/>
      </w:pPr>
      <w:r>
        <w:t xml:space="preserve">The instrument used to collect the data is identified.</w:t>
      </w:r>
    </w:p>
    <w:bookmarkEnd w:id="75"/>
    <w:bookmarkStart w:id="77" w:name="goal-requirements-9"/>
    <w:p>
      <w:pPr>
        <w:pStyle w:val="berschrift5"/>
      </w:pPr>
      <w:r>
        <w:t xml:space="preserve">Goal requirements:</w:t>
      </w:r>
    </w:p>
    <w:p>
      <w:pPr>
        <w:pStyle w:val="FirstParagraph"/>
      </w:pPr>
      <w:r>
        <w:t xml:space="preserve">As threshold, with references to the relevant “CEOS Missions, Instruments, and Measurements Database” record (</w:t>
      </w:r>
      <w:hyperlink r:id="rId76">
        <w:r>
          <w:rPr>
            <w:rStyle w:val="Hyperlink"/>
          </w:rPr>
          <w:t xml:space="preserve">database.eohandbook.com</w:t>
        </w:r>
      </w:hyperlink>
      <w:r>
        <w:t xml:space="preserve">).</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meta-specband-ar"/>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meta-specband-ar</w:t>
      </w:r>
    </w:p>
    <w:bookmarkStart w:id="80" w:name="threshold-requirements-10"/>
    <w:p>
      <w:pPr>
        <w:pStyle w:val="berschrift5"/>
      </w:pPr>
      <w:r>
        <w:t xml:space="preserve">Threshold requirements:</w:t>
      </w:r>
    </w:p>
    <w:p>
      <w:pPr>
        <w:pStyle w:val="FirstParagraph"/>
      </w:pPr>
      <w:r>
        <w:t xml:space="preserve">Full spectral response function is provided.</w:t>
      </w:r>
    </w:p>
    <w:bookmarkEnd w:id="80"/>
    <w:bookmarkStart w:id="81" w:name="goal-requirements-10"/>
    <w:p>
      <w:pPr>
        <w:pStyle w:val="berschrift5"/>
      </w:pPr>
      <w:r>
        <w:t xml:space="preserve">Goal requirements:</w:t>
      </w:r>
    </w:p>
    <w:p>
      <w:pPr>
        <w:pStyle w:val="FirstParagraph"/>
      </w:pPr>
      <w:r>
        <w:t xml:space="preserve">As threshold.</w:t>
      </w:r>
      <w:r>
        <w:t xml:space="preserve"> </w:t>
      </w:r>
    </w:p>
    <w:bookmarkEnd w:id="81"/>
    <w:bookmarkStart w:id="82" w:name="assessment-10"/>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2"/>
    <w:bookmarkEnd w:id="83"/>
    <w:bookmarkStart w:id="87" w:name="sec:meta-sencal-ar"/>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meta-sencal-ar</w:t>
      </w:r>
    </w:p>
    <w:bookmarkStart w:id="84" w:name="threshold-requirements-11"/>
    <w:p>
      <w:pPr>
        <w:pStyle w:val="berschrift5"/>
      </w:pPr>
      <w:r>
        <w:t xml:space="preserve">Threshold requirements:</w:t>
      </w:r>
    </w:p>
    <w:p>
      <w:pPr>
        <w:pStyle w:val="FirstParagraph"/>
      </w:pPr>
      <w:r>
        <w:t xml:space="preserve">Binary description of calibrated/not calibrated only.</w:t>
      </w:r>
    </w:p>
    <w:bookmarkEnd w:id="84"/>
    <w:bookmarkStart w:id="85" w:name="goal-requirements-11"/>
    <w:p>
      <w:pPr>
        <w:pStyle w:val="berschrift5"/>
      </w:pPr>
      <w:r>
        <w:t xml:space="preserve">Goal requirements:</w:t>
      </w:r>
    </w:p>
    <w:p>
      <w:pPr>
        <w:pStyle w:val="FirstParagraph"/>
      </w:pPr>
      <w:r>
        <w:t xml:space="preserve">Specification of sensor calibration parameters including history of onboard calibrations where available.</w:t>
      </w:r>
    </w:p>
    <w:bookmarkEnd w:id="85"/>
    <w:bookmarkStart w:id="86" w:name="assessment-11"/>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6"/>
    <w:bookmarkEnd w:id="87"/>
    <w:bookmarkStart w:id="91" w:name="sec:meta-radunc"/>
    <w:p>
      <w:pPr>
        <w:pStyle w:val="berschrift4"/>
      </w:pPr>
      <w:r>
        <w:rPr>
          <w:rStyle w:val="VerbatimChar"/>
        </w:rPr>
        <w:t xml:space="preserve">1.13.</w:t>
      </w:r>
      <w:r>
        <w:t xml:space="preserve"> </w:t>
      </w:r>
      <w:r>
        <w:t xml:space="preserve">Measurand Radiometric Uncertainty</w:t>
      </w:r>
    </w:p>
    <w:p>
      <w:pPr>
        <w:pStyle w:val="FirstParagraph"/>
      </w:pPr>
      <w:r>
        <w:t xml:space="preserve">Identifier:</w:t>
      </w:r>
      <w:r>
        <w:t xml:space="preserve"> </w:t>
      </w:r>
      <w:r>
        <w:rPr>
          <w:rStyle w:val="VerbatimChar"/>
        </w:rPr>
        <w:t xml:space="preserve">meta-radunc</w:t>
      </w:r>
    </w:p>
    <w:bookmarkStart w:id="88" w:name="threshold-requirements-12"/>
    <w:p>
      <w:pPr>
        <w:pStyle w:val="berschrift5"/>
      </w:pPr>
      <w:r>
        <w:t xml:space="preserve">Threshold requirements:</w:t>
      </w:r>
    </w:p>
    <w:p>
      <w:pPr>
        <w:pStyle w:val="FirstParagraph"/>
      </w:pPr>
      <w:r>
        <w:t xml:space="preserve">Metrics describing the assessed radiometric uncertainty of the version of the data or product are provided. Method of determination of radiometric uncertainty is specified.</w:t>
      </w:r>
    </w:p>
    <w:bookmarkEnd w:id="88"/>
    <w:bookmarkStart w:id="89" w:name="goal-requirements-12"/>
    <w:p>
      <w:pPr>
        <w:pStyle w:val="berschrift5"/>
      </w:pPr>
      <w:r>
        <w:t xml:space="preserve">Goal requirements:</w:t>
      </w:r>
    </w:p>
    <w:p>
      <w:pPr>
        <w:pStyle w:val="FirstParagraph"/>
      </w:pPr>
      <w:r>
        <w:t xml:space="preserve">As threshold, but the absolute radiometric uncertainty of the data is provided.</w:t>
      </w:r>
    </w:p>
    <w:bookmarkEnd w:id="89"/>
    <w:bookmarkStart w:id="90" w:name="assessment-12"/>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90"/>
    <w:bookmarkEnd w:id="91"/>
    <w:bookmarkStart w:id="95" w:name="sec:meta-radenc"/>
    <w:p>
      <w:pPr>
        <w:pStyle w:val="berschrift4"/>
      </w:pPr>
      <w:r>
        <w:rPr>
          <w:rStyle w:val="VerbatimChar"/>
        </w:rPr>
        <w:t xml:space="preserve">1.14.</w:t>
      </w:r>
      <w:r>
        <w:t xml:space="preserve"> </w:t>
      </w:r>
      <w:r>
        <w:t xml:space="preserve">Radiometric Encoding</w:t>
      </w:r>
    </w:p>
    <w:p>
      <w:pPr>
        <w:pStyle w:val="FirstParagraph"/>
      </w:pPr>
      <w:r>
        <w:t xml:space="preserve">Identifier:</w:t>
      </w:r>
      <w:r>
        <w:t xml:space="preserve"> </w:t>
      </w:r>
      <w:r>
        <w:rPr>
          <w:rStyle w:val="VerbatimChar"/>
        </w:rPr>
        <w:t xml:space="preserve">meta-radenc</w:t>
      </w:r>
    </w:p>
    <w:bookmarkStart w:id="92" w:name="threshold-requirements-13"/>
    <w:p>
      <w:pPr>
        <w:pStyle w:val="berschrift5"/>
      </w:pPr>
      <w:r>
        <w:t xml:space="preserve">Threshold requirements:</w:t>
      </w:r>
    </w:p>
    <w:p>
      <w:pPr>
        <w:pStyle w:val="FirstParagraph"/>
      </w:pPr>
      <w:r>
        <w:t xml:space="preserve">Range and bit depth are provided.</w:t>
      </w:r>
    </w:p>
    <w:bookmarkEnd w:id="92"/>
    <w:bookmarkStart w:id="93" w:name="goal-requirements-13"/>
    <w:p>
      <w:pPr>
        <w:pStyle w:val="berschrift5"/>
      </w:pPr>
      <w:r>
        <w:t xml:space="preserve">Goal requirements:</w:t>
      </w:r>
    </w:p>
    <w:p>
      <w:pPr>
        <w:pStyle w:val="FirstParagraph"/>
      </w:pPr>
      <w:r>
        <w:t xml:space="preserve">As threshold.</w:t>
      </w:r>
      <w:r>
        <w:t xml:space="preserve"> </w:t>
      </w:r>
    </w:p>
    <w:bookmarkEnd w:id="93"/>
    <w:bookmarkStart w:id="94" w:name="assessment-13"/>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94"/>
    <w:bookmarkEnd w:id="95"/>
    <w:bookmarkStart w:id="99" w:name="sec:meta-malgos-ar"/>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meta-malgos-ar</w:t>
      </w:r>
    </w:p>
    <w:bookmarkStart w:id="96" w:name="threshold-requirements-14"/>
    <w:p>
      <w:pPr>
        <w:pStyle w:val="berschrift5"/>
      </w:pPr>
      <w:r>
        <w:t xml:space="preserve">Threshold requirements:</w:t>
      </w:r>
    </w:p>
    <w:p>
      <w:pPr>
        <w:pStyle w:val="FirstParagraph"/>
      </w:pPr>
      <w:r>
        <w:t xml:space="preserve">All algorithms and the sequence in which they were applied in the generation process are identified.</w:t>
      </w:r>
    </w:p>
    <w:p>
      <w:pPr>
        <w:pStyle w:val="Textkrper"/>
      </w:pPr>
      <w:r>
        <w:t xml:space="preserve">Algorithms must be published and validated, and a description of the validation process is included.</w:t>
      </w:r>
    </w:p>
    <w:p>
      <w:pPr>
        <w:pStyle w:val="Textkrper"/>
      </w:pPr>
      <w:r>
        <w:t xml:space="preserve">Note:</w:t>
      </w:r>
    </w:p>
    <w:p>
      <w:pPr>
        <w:pStyle w:val="Compact"/>
        <w:numPr>
          <w:ilvl w:val="0"/>
          <w:numId w:val="1020"/>
        </w:numPr>
      </w:pPr>
      <w:r>
        <w:t xml:space="preserve">It is possible that corrections are applied through non-disclosed processes. CEOS-ARD does not require full and open data and methods.</w:t>
      </w:r>
    </w:p>
    <w:bookmarkEnd w:id="96"/>
    <w:bookmarkStart w:id="97" w:name="goal-requirements-14"/>
    <w:p>
      <w:pPr>
        <w:pStyle w:val="berschrift5"/>
      </w:pPr>
      <w:r>
        <w:t xml:space="preserve">Goal requirements:</w:t>
      </w:r>
    </w:p>
    <w:p>
      <w:pPr>
        <w:pStyle w:val="FirstParagraph"/>
      </w:pPr>
      <w:r>
        <w:t xml:space="preserve">As threshold.</w:t>
      </w:r>
      <w:r>
        <w:t xml:space="preserve"> </w:t>
      </w:r>
    </w:p>
    <w:bookmarkEnd w:id="97"/>
    <w:bookmarkStart w:id="98" w:name="assessment-14"/>
    <w:p>
      <w:pPr>
        <w:pStyle w:val="berschrift5"/>
      </w:pPr>
      <w:r>
        <w:t xml:space="preserve">Assessment:</w:t>
      </w:r>
    </w:p>
    <w:p>
      <w:pPr>
        <w:pStyle w:val="Compact"/>
        <w:numPr>
          <w:ilvl w:val="0"/>
          <w:numId w:val="1021"/>
        </w:numPr>
      </w:pPr>
      <w:r>
        <w:t xml:space="preserve">Threshold Self-Assessment:</w:t>
      </w:r>
    </w:p>
    <w:p>
      <w:pPr>
        <w:pStyle w:val="Compact"/>
        <w:numPr>
          <w:ilvl w:val="0"/>
          <w:numId w:val="1021"/>
        </w:numPr>
      </w:pPr>
      <w:r>
        <w:t xml:space="preserve">Goal Self-Assessment:</w:t>
      </w:r>
    </w:p>
    <w:p>
      <w:pPr>
        <w:pStyle w:val="Compact"/>
        <w:numPr>
          <w:ilvl w:val="0"/>
          <w:numId w:val="1021"/>
        </w:numPr>
      </w:pPr>
      <w:r>
        <w:t xml:space="preserve">Self-Assessment Explanation/ Justification:</w:t>
      </w:r>
    </w:p>
    <w:p>
      <w:pPr>
        <w:pStyle w:val="Compact"/>
        <w:numPr>
          <w:ilvl w:val="0"/>
          <w:numId w:val="1021"/>
        </w:numPr>
      </w:pPr>
      <w:r>
        <w:t xml:space="preserve">Recommended Requirement Modification:</w:t>
      </w:r>
    </w:p>
    <w:p>
      <w:r>
        <w:pict>
          <v:rect style="width:0;height:1.5pt" o:hralign="center" o:hrstd="t" o:hr="t"/>
        </w:pict>
      </w:r>
    </w:p>
    <w:bookmarkEnd w:id="98"/>
    <w:bookmarkEnd w:id="99"/>
    <w:bookmarkStart w:id="103" w:name="sec:meta-auxdat-ar"/>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meta-auxdat-ar</w:t>
      </w:r>
    </w:p>
    <w:bookmarkStart w:id="100" w:name="threshold-requirements-15"/>
    <w:p>
      <w:pPr>
        <w:pStyle w:val="berschrift5"/>
      </w:pPr>
      <w:r>
        <w:t xml:space="preserve">Threshold requirements:</w:t>
      </w:r>
    </w:p>
    <w:p>
      <w:pPr>
        <w:pStyle w:val="FirstParagraph"/>
      </w:pPr>
      <w:r>
        <w:t xml:space="preserve">Lists the sources of auxiliary data used in the generation process.</w:t>
      </w:r>
    </w:p>
    <w:bookmarkEnd w:id="100"/>
    <w:bookmarkStart w:id="101"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101"/>
    <w:bookmarkStart w:id="102" w:name="assessment-15"/>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102"/>
    <w:bookmarkEnd w:id="103"/>
    <w:bookmarkStart w:id="107" w:name="sec:meta-proprov-ar"/>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meta-proprov-ar</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Information on processing chain provenance should be available with a detailed description of the processing steps used to generate the product, including the versions of software used, giving full transparency to the users.</w:t>
      </w:r>
    </w:p>
    <w:bookmarkEnd w:id="105"/>
    <w:bookmarkStart w:id="106" w:name="assessment-16"/>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6"/>
    <w:bookmarkEnd w:id="107"/>
    <w:bookmarkStart w:id="111" w:name="sec:meta-daccess"/>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w:t>
      </w:r>
    </w:p>
    <w:bookmarkStart w:id="108" w:name="threshold-requirements-17"/>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4"/>
        </w:numPr>
      </w:pPr>
      <w:r>
        <w:t xml:space="preserve">Manual and offline interaction action (e.g., login) may be required.</w:t>
      </w:r>
    </w:p>
    <w:bookmarkEnd w:id="108"/>
    <w:bookmarkStart w:id="109" w:name="goal-requirements-17"/>
    <w:p>
      <w:pPr>
        <w:pStyle w:val="berschrift5"/>
      </w:pPr>
      <w:r>
        <w:t xml:space="preserve">Goal requirements:</w:t>
      </w:r>
    </w:p>
    <w:p>
      <w:pPr>
        <w:pStyle w:val="FirstParagraph"/>
      </w:pPr>
      <w:r>
        <w:t xml:space="preserve">As threshold.</w:t>
      </w:r>
      <w:r>
        <w:t xml:space="preserve"> </w:t>
      </w:r>
    </w:p>
    <w:bookmarkEnd w:id="109"/>
    <w:bookmarkStart w:id="110" w:name="assessment-17"/>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10"/>
    <w:bookmarkEnd w:id="111"/>
    <w:bookmarkStart w:id="115"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12" w:name="threshold-requirements-18"/>
    <w:p>
      <w:pPr>
        <w:pStyle w:val="berschrift5"/>
      </w:pPr>
      <w:r>
        <w:t xml:space="preserve">Threshold requirements:</w:t>
      </w:r>
    </w:p>
    <w:p>
      <w:pPr>
        <w:pStyle w:val="FirstParagraph"/>
      </w:pPr>
      <w:r>
        <w:t xml:space="preserve">Percentage of valid pixels in a specified area based on the applied flags from</w:t>
      </w:r>
      <w:r>
        <w:t xml:space="preserve"> </w:t>
      </w:r>
      <w:hyperlink w:anchor="sec:pxl">
        <w:r>
          <w:rPr>
            <w:rStyle w:val="Hyperlink"/>
          </w:rPr>
          <w:t xml:space="preserve">Per-Pixel Metadata</w:t>
        </w:r>
      </w:hyperlink>
      <w:r>
        <w:t xml:space="preserve">.</w:t>
      </w:r>
    </w:p>
    <w:bookmarkEnd w:id="112"/>
    <w:bookmarkStart w:id="113" w:name="goal-requirements-18"/>
    <w:p>
      <w:pPr>
        <w:pStyle w:val="berschrift5"/>
      </w:pPr>
      <w:r>
        <w:t xml:space="preserve">Goal requirements:</w:t>
      </w:r>
    </w:p>
    <w:p>
      <w:pPr>
        <w:pStyle w:val="FirstParagraph"/>
      </w:pPr>
      <w:r>
        <w:t xml:space="preserve">As threshold.</w:t>
      </w:r>
      <w:r>
        <w:t xml:space="preserve"> </w:t>
      </w:r>
    </w:p>
    <w:bookmarkEnd w:id="113"/>
    <w:bookmarkStart w:id="114" w:name="assessment-18"/>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bookmarkEnd w:id="114"/>
    <w:bookmarkEnd w:id="115"/>
    <w:bookmarkEnd w:id="116"/>
    <w:bookmarkStart w:id="197"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p>
      <w:pPr>
        <w:pStyle w:val="Textkrper"/>
      </w:pPr>
      <w:r>
        <w:t xml:space="preserve">Information should be available in the metadata as a single DOI landing page, which may include links to further detailed documents and references to citable peer-reviewed algorithms or technical documentation.</w:t>
      </w:r>
    </w:p>
    <w:bookmarkStart w:id="120"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17" w:name="threshold-requirements-19"/>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17"/>
    <w:bookmarkStart w:id="118" w:name="goal-requirements-19"/>
    <w:p>
      <w:pPr>
        <w:pStyle w:val="berschrift5"/>
      </w:pPr>
      <w:r>
        <w:t xml:space="preserve">Goal requirements:</w:t>
      </w:r>
    </w:p>
    <w:p>
      <w:pPr>
        <w:pStyle w:val="FirstParagraph"/>
      </w:pPr>
      <w:r>
        <w:t xml:space="preserve">As threshold.</w:t>
      </w:r>
      <w:r>
        <w:t xml:space="preserve"> </w:t>
      </w:r>
    </w:p>
    <w:bookmarkEnd w:id="118"/>
    <w:bookmarkStart w:id="119" w:name="assessment-19"/>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19"/>
    <w:bookmarkEnd w:id="120"/>
    <w:bookmarkStart w:id="124" w:name="sec:pxl-pinodat-ar"/>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pxl-pinodat-ar</w:t>
      </w:r>
    </w:p>
    <w:bookmarkStart w:id="121" w:name="threshold-requirements-20"/>
    <w:p>
      <w:pPr>
        <w:pStyle w:val="berschrift5"/>
      </w:pPr>
      <w:r>
        <w:t xml:space="preserve">Threshold requirements:</w:t>
      </w:r>
    </w:p>
    <w:p>
      <w:pPr>
        <w:pStyle w:val="FirstParagraph"/>
      </w:pPr>
      <w:r>
        <w:t xml:space="preserve">Pixels that do not correspond to an observation (e.g., empty pixels / invalid observations / below noise floor) are masked.</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23"/>
    <w:bookmarkEnd w:id="124"/>
    <w:bookmarkStart w:id="128" w:name="sec:pxl-pixass"/>
    <w:p>
      <w:pPr>
        <w:pStyle w:val="berschrift4"/>
      </w:pPr>
      <w:r>
        <w:rPr>
          <w:rStyle w:val="VerbatimChar"/>
        </w:rPr>
        <w:t xml:space="preserve">2.3.</w:t>
      </w:r>
      <w:r>
        <w:t xml:space="preserve"> </w:t>
      </w:r>
      <w:r>
        <w:t xml:space="preserve">Per-pixel Assessment</w:t>
      </w:r>
    </w:p>
    <w:p>
      <w:pPr>
        <w:pStyle w:val="FirstParagraph"/>
      </w:pPr>
      <w:r>
        <w:t xml:space="preserve">Identifier:</w:t>
      </w:r>
      <w:r>
        <w:t xml:space="preserve"> </w:t>
      </w:r>
      <w:r>
        <w:rPr>
          <w:rStyle w:val="VerbatimChar"/>
        </w:rPr>
        <w:t xml:space="preserve">pxl-pixass</w:t>
      </w:r>
    </w:p>
    <w:bookmarkStart w:id="125" w:name="threshold-requirements-21"/>
    <w:p>
      <w:pPr>
        <w:pStyle w:val="berschrift5"/>
      </w:pPr>
      <w:r>
        <w:t xml:space="preserve">Threshold requirements:</w:t>
      </w:r>
    </w:p>
    <w:p>
      <w:pPr>
        <w:pStyle w:val="FirstParagraph"/>
      </w:pPr>
      <w:r>
        <w:t xml:space="preserve">Identifies pixels for which the per-pixel tests (below) have not all been successfully completed.</w:t>
      </w:r>
    </w:p>
    <w:p>
      <w:pPr>
        <w:pStyle w:val="Textkrper"/>
      </w:pPr>
      <w:r>
        <w:t xml:space="preserve">Note:</w:t>
      </w:r>
    </w:p>
    <w:p>
      <w:pPr>
        <w:pStyle w:val="Compact"/>
        <w:numPr>
          <w:ilvl w:val="0"/>
          <w:numId w:val="1029"/>
        </w:numPr>
      </w:pPr>
      <w:r>
        <w:t xml:space="preserve">This may be the result of missing ancillary data for a subset of the pixels.</w:t>
      </w:r>
    </w:p>
    <w:bookmarkEnd w:id="125"/>
    <w:bookmarkStart w:id="126" w:name="goal-requirements-21"/>
    <w:p>
      <w:pPr>
        <w:pStyle w:val="berschrift5"/>
      </w:pPr>
      <w:r>
        <w:t xml:space="preserve">Goal requirements:</w:t>
      </w:r>
    </w:p>
    <w:p>
      <w:pPr>
        <w:pStyle w:val="FirstParagraph"/>
      </w:pPr>
      <w:r>
        <w:t xml:space="preserve">Identifies which tests have and have not been successfully completed for each pixel.</w:t>
      </w:r>
    </w:p>
    <w:bookmarkEnd w:id="126"/>
    <w:bookmarkStart w:id="127" w:name="assessment-21"/>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27"/>
    <w:bookmarkEnd w:id="128"/>
    <w:bookmarkStart w:id="132" w:name="sec:pxl-pisatur-a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9" w:name="threshold-requirements-22"/>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9"/>
    <w:bookmarkStart w:id="130" w:name="goal-requirements-22"/>
    <w:p>
      <w:pPr>
        <w:pStyle w:val="berschrift5"/>
      </w:pPr>
      <w:r>
        <w:t xml:space="preserve">Goal requirements:</w:t>
      </w:r>
    </w:p>
    <w:p>
      <w:pPr>
        <w:pStyle w:val="FirstParagraph"/>
      </w:pPr>
      <w:r>
        <w:t xml:space="preserve">As threshold, with specification of which pixels are radiometrically saturated for each spectral band.</w:t>
      </w:r>
    </w:p>
    <w:bookmarkEnd w:id="130"/>
    <w:bookmarkStart w:id="131" w:name="assessment-22"/>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31"/>
    <w:bookmarkEnd w:id="132"/>
    <w:bookmarkStart w:id="136" w:name="sec:pxl-picloud-ar"/>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pxl-picloud-ar</w:t>
      </w:r>
    </w:p>
    <w:bookmarkStart w:id="133" w:name="threshold-requirements-23"/>
    <w:p>
      <w:pPr>
        <w:pStyle w:val="berschrift5"/>
      </w:pPr>
      <w:r>
        <w:t xml:space="preserve">Threshold requirements:</w:t>
      </w:r>
    </w:p>
    <w:p>
      <w:pPr>
        <w:pStyle w:val="FirstParagraph"/>
      </w:pPr>
      <w:r>
        <w:t xml:space="preserve">Specification of whether a pixel is cloud or cloud-affected.</w:t>
      </w:r>
    </w:p>
    <w:bookmarkEnd w:id="133"/>
    <w:bookmarkStart w:id="134" w:name="goal-requirements-23"/>
    <w:p>
      <w:pPr>
        <w:pStyle w:val="berschrift5"/>
      </w:pPr>
      <w:r>
        <w:t xml:space="preserve">Goal requirements:</w:t>
      </w:r>
    </w:p>
    <w:p>
      <w:pPr>
        <w:pStyle w:val="FirstParagraph"/>
      </w:pPr>
      <w:r>
        <w:t xml:space="preserve">As threshold, but clouds and cirrus clouds are differentiated.</w:t>
      </w:r>
    </w:p>
    <w:p>
      <w:pPr>
        <w:pStyle w:val="Textkrper"/>
      </w:pPr>
      <w:r>
        <w:t xml:space="preserve">Note:</w:t>
      </w:r>
    </w:p>
    <w:p>
      <w:pPr>
        <w:pStyle w:val="Compact"/>
        <w:numPr>
          <w:ilvl w:val="0"/>
          <w:numId w:val="1032"/>
        </w:numPr>
      </w:pPr>
      <w:r>
        <w:t xml:space="preserve">See</w:t>
      </w:r>
      <w:r>
        <w:t xml:space="preserve"> </w:t>
      </w:r>
      <w:r>
        <w:t xml:space="preserve">Foga et al. (</w:t>
      </w:r>
      <w:hyperlink w:anchor="ref-foga2017">
        <w:r>
          <w:rPr>
            <w:rStyle w:val="Hyperlink"/>
          </w:rPr>
          <w:t xml:space="preserve">2017</w:t>
        </w:r>
      </w:hyperlink>
      <w:r>
        <w:t xml:space="preserve">)</w:t>
      </w:r>
      <w:r>
        <w:t xml:space="preserve">,</w:t>
      </w:r>
      <w:r>
        <w:t xml:space="preserve"> </w:t>
      </w:r>
      <w:r>
        <w:t xml:space="preserve">Skakun et al. (</w:t>
      </w:r>
      <w:hyperlink w:anchor="ref-skakun2022">
        <w:r>
          <w:rPr>
            <w:rStyle w:val="Hyperlink"/>
          </w:rPr>
          <w:t xml:space="preserve">2022</w:t>
        </w:r>
      </w:hyperlink>
      <w:r>
        <w:t xml:space="preserve">)</w:t>
      </w:r>
      <w:r>
        <w:t xml:space="preserve">,</w:t>
      </w:r>
      <w:r>
        <w:t xml:space="preserve"> </w:t>
      </w:r>
      <w:r>
        <w:t xml:space="preserve">Zhu and Woodcock (</w:t>
      </w:r>
      <w:hyperlink w:anchor="ref-zhu2012">
        <w:r>
          <w:rPr>
            <w:rStyle w:val="Hyperlink"/>
          </w:rPr>
          <w:t xml:space="preserve">2012</w:t>
        </w:r>
      </w:hyperlink>
      <w:r>
        <w:t xml:space="preserve">)</w:t>
      </w:r>
      <w:r>
        <w:t xml:space="preserve">, and</w:t>
      </w:r>
      <w:r>
        <w:t xml:space="preserve"> </w:t>
      </w:r>
      <w:r>
        <w:t xml:space="preserve">Zhu et al. (</w:t>
      </w:r>
      <w:hyperlink w:anchor="ref-zhu2015">
        <w:r>
          <w:rPr>
            <w:rStyle w:val="Hyperlink"/>
          </w:rPr>
          <w:t xml:space="preserve">2015</w:t>
        </w:r>
      </w:hyperlink>
      <w:r>
        <w:t xml:space="preserve">)</w:t>
      </w:r>
      <w:r>
        <w:t xml:space="preserve">.</w:t>
      </w:r>
    </w:p>
    <w:bookmarkEnd w:id="134"/>
    <w:bookmarkStart w:id="135" w:name="assessment-23"/>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35"/>
    <w:bookmarkEnd w:id="136"/>
    <w:bookmarkStart w:id="140" w:name="sec:pxl-picloudsh-ar"/>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pxl-picloudsh-ar</w:t>
      </w:r>
    </w:p>
    <w:bookmarkStart w:id="137" w:name="threshold-requirements-24"/>
    <w:p>
      <w:pPr>
        <w:pStyle w:val="berschrift5"/>
      </w:pPr>
      <w:r>
        <w:t xml:space="preserve">Threshold requirements:</w:t>
      </w:r>
    </w:p>
    <w:p>
      <w:pPr>
        <w:pStyle w:val="FirstParagraph"/>
      </w:pPr>
      <w:r>
        <w:t xml:space="preserve">Specification of whether a pixel is cloud shadow or cloud shadow-affected.</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39"/>
    <w:bookmarkEnd w:id="140"/>
    <w:bookmarkStart w:id="144" w:name="sec:pxl-lawama-ar"/>
    <w:p>
      <w:pPr>
        <w:pStyle w:val="berschrift4"/>
      </w:pPr>
      <w:r>
        <w:rPr>
          <w:rStyle w:val="VerbatimChar"/>
        </w:rPr>
        <w:t xml:space="preserve">2.7.</w:t>
      </w:r>
      <w:r>
        <w:t xml:space="preserve"> </w:t>
      </w:r>
      <w:r>
        <w:t xml:space="preserve">Land</w:t>
      </w:r>
    </w:p>
    <w:p>
      <w:pPr>
        <w:pStyle w:val="FirstParagraph"/>
      </w:pPr>
      <w:r>
        <w:t xml:space="preserve">Identifier:</w:t>
      </w:r>
      <w:r>
        <w:t xml:space="preserve"> </w:t>
      </w:r>
      <w:r>
        <w:rPr>
          <w:rStyle w:val="VerbatimChar"/>
        </w:rPr>
        <w:t xml:space="preserve">pxl-lawama-ar</w:t>
      </w:r>
    </w:p>
    <w:bookmarkStart w:id="141" w:name="threshold-requirements-25"/>
    <w:p>
      <w:pPr>
        <w:pStyle w:val="berschrift5"/>
      </w:pPr>
      <w:r>
        <w:t xml:space="preserve">Threshold requirements:</w:t>
      </w:r>
    </w:p>
    <w:p>
      <w:pPr>
        <w:pStyle w:val="FirstParagraph"/>
      </w:pPr>
      <w:r>
        <w:t xml:space="preserve">Specification of whether a pixel is less than 100% water covered due to land.</w:t>
      </w:r>
    </w:p>
    <w:p>
      <w:pPr>
        <w:pStyle w:val="Textkrper"/>
      </w:pPr>
      <w:r>
        <w:t xml:space="preserve">Note:</w:t>
      </w:r>
    </w:p>
    <w:p>
      <w:pPr>
        <w:pStyle w:val="Compact"/>
        <w:numPr>
          <w:ilvl w:val="0"/>
          <w:numId w:val="1035"/>
        </w:numPr>
      </w:pPr>
      <w:r>
        <w:t xml:space="preserve">See</w:t>
      </w:r>
      <w:r>
        <w:t xml:space="preserve"> </w:t>
      </w:r>
      <w:r>
        <w:t xml:space="preserve">Jones (</w:t>
      </w:r>
      <w:hyperlink w:anchor="ref-jones2019">
        <w:r>
          <w:rPr>
            <w:rStyle w:val="Hyperlink"/>
          </w:rPr>
          <w:t xml:space="preserve">2019</w:t>
        </w:r>
      </w:hyperlink>
      <w:r>
        <w:t xml:space="preserve">)</w:t>
      </w:r>
      <w:r>
        <w:t xml:space="preserve">,</w:t>
      </w:r>
      <w:r>
        <w:t xml:space="preserve"> </w:t>
      </w:r>
      <w:r>
        <w:t xml:space="preserve">Mikelsons et al. (</w:t>
      </w:r>
      <w:hyperlink w:anchor="ref-mikelsons2021">
        <w:r>
          <w:rPr>
            <w:rStyle w:val="Hyperlink"/>
          </w:rPr>
          <w:t xml:space="preserve">2021</w:t>
        </w:r>
      </w:hyperlink>
      <w:r>
        <w:t xml:space="preserve">)</w:t>
      </w:r>
      <w:r>
        <w:t xml:space="preserve">, and</w:t>
      </w:r>
      <w:r>
        <w:t xml:space="preserve"> </w:t>
      </w:r>
      <w:r>
        <w:t xml:space="preserve">Pekel et al. (</w:t>
      </w:r>
      <w:hyperlink w:anchor="ref-pekel2016">
        <w:r>
          <w:rPr>
            <w:rStyle w:val="Hyperlink"/>
          </w:rPr>
          <w:t xml:space="preserve">2016</w:t>
        </w:r>
      </w:hyperlink>
      <w:r>
        <w:t xml:space="preserve">)</w:t>
      </w:r>
      <w:r>
        <w:t xml:space="preserve">.</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43"/>
    <w:bookmarkEnd w:id="144"/>
    <w:bookmarkStart w:id="148" w:name="sec:pxl-pice"/>
    <w:p>
      <w:pPr>
        <w:pStyle w:val="berschrift4"/>
      </w:pPr>
      <w:r>
        <w:rPr>
          <w:rStyle w:val="VerbatimChar"/>
        </w:rPr>
        <w:t xml:space="preserve">2.8.</w:t>
      </w:r>
      <w:r>
        <w:t xml:space="preserve"> </w:t>
      </w:r>
      <w:r>
        <w:t xml:space="preserve">Ice</w:t>
      </w:r>
    </w:p>
    <w:p>
      <w:pPr>
        <w:pStyle w:val="FirstParagraph"/>
      </w:pPr>
      <w:r>
        <w:t xml:space="preserve">Identifier:</w:t>
      </w:r>
      <w:r>
        <w:t xml:space="preserve"> </w:t>
      </w:r>
      <w:r>
        <w:rPr>
          <w:rStyle w:val="VerbatimChar"/>
        </w:rPr>
        <w:t xml:space="preserve">pxl-pice</w:t>
      </w:r>
    </w:p>
    <w:bookmarkStart w:id="145" w:name="threshold-requirements-26"/>
    <w:p>
      <w:pPr>
        <w:pStyle w:val="berschrift5"/>
      </w:pPr>
      <w:r>
        <w:t xml:space="preserve">Threshold requirements:</w:t>
      </w:r>
    </w:p>
    <w:p>
      <w:pPr>
        <w:pStyle w:val="FirstParagraph"/>
      </w:pPr>
      <w:r>
        <w:t xml:space="preserve">Specification of whether a pixel is ice or ice-affected.</w:t>
      </w:r>
    </w:p>
    <w:p>
      <w:pPr>
        <w:pStyle w:val="Textkrper"/>
      </w:pPr>
      <w:r>
        <w:t xml:space="preserve">Note:</w:t>
      </w:r>
    </w:p>
    <w:p>
      <w:pPr>
        <w:pStyle w:val="Compact"/>
        <w:numPr>
          <w:ilvl w:val="0"/>
          <w:numId w:val="1037"/>
        </w:numPr>
      </w:pPr>
      <w:r>
        <w:t xml:space="preserve">See</w:t>
      </w:r>
      <w:r>
        <w:t xml:space="preserve"> </w:t>
      </w:r>
      <w:r>
        <w:t xml:space="preserve">Dworak et al. (</w:t>
      </w:r>
      <w:hyperlink w:anchor="ref-dworak2021">
        <w:r>
          <w:rPr>
            <w:rStyle w:val="Hyperlink"/>
          </w:rPr>
          <w:t xml:space="preserve">2021</w:t>
        </w:r>
      </w:hyperlink>
      <w:r>
        <w:t xml:space="preserve">)</w:t>
      </w:r>
      <w:r>
        <w:t xml:space="preserve">,</w:t>
      </w:r>
      <w:r>
        <w:t xml:space="preserve"> </w:t>
      </w:r>
      <w:r>
        <w:t xml:space="preserve">Liu and Key (</w:t>
      </w:r>
      <w:hyperlink w:anchor="ref-liu2019">
        <w:r>
          <w:rPr>
            <w:rStyle w:val="Hyperlink"/>
          </w:rPr>
          <w:t xml:space="preserve">2015</w:t>
        </w:r>
      </w:hyperlink>
      <w:r>
        <w:t xml:space="preserve">)</w:t>
      </w:r>
      <w:r>
        <w:t xml:space="preserve">,</w:t>
      </w:r>
      <w:r>
        <w:t xml:space="preserve"> </w:t>
      </w:r>
      <w:r>
        <w:t xml:space="preserve">Liu et al. (</w:t>
      </w:r>
      <w:hyperlink w:anchor="ref-liu2016">
        <w:r>
          <w:rPr>
            <w:rStyle w:val="Hyperlink"/>
          </w:rPr>
          <w:t xml:space="preserve">2016</w:t>
        </w:r>
      </w:hyperlink>
      <w:r>
        <w:t xml:space="preserve">)</w:t>
      </w:r>
      <w:r>
        <w:t xml:space="preserve">,</w:t>
      </w:r>
      <w:r>
        <w:t xml:space="preserve"> </w:t>
      </w:r>
      <w:r>
        <w:t xml:space="preserve">Robinson et al. (</w:t>
      </w:r>
      <w:hyperlink w:anchor="ref-robinson2003">
        <w:r>
          <w:rPr>
            <w:rStyle w:val="Hyperlink"/>
          </w:rPr>
          <w:t xml:space="preserve">2003</w:t>
        </w:r>
      </w:hyperlink>
      <w:r>
        <w:t xml:space="preserve">)</w:t>
      </w:r>
      <w:r>
        <w:t xml:space="preserve">,</w:t>
      </w:r>
      <w:r>
        <w:t xml:space="preserve"> </w:t>
      </w:r>
      <w:r>
        <w:t xml:space="preserve">Bourg (</w:t>
      </w:r>
      <w:hyperlink w:anchor="ref-bourg2014">
        <w:r>
          <w:rPr>
            <w:rStyle w:val="Hyperlink"/>
          </w:rPr>
          <w:t xml:space="preserve">2014</w:t>
        </w:r>
      </w:hyperlink>
      <w:r>
        <w:t xml:space="preserve">)</w:t>
      </w:r>
      <w:r>
        <w:t xml:space="preserve">, and</w:t>
      </w:r>
      <w:r>
        <w:t xml:space="preserve"> </w:t>
      </w:r>
      <w:r>
        <w:t xml:space="preserve">Heinilä, Kirsikka and Metsämäki, Sari and Mattila, Olli-Pekka (</w:t>
      </w:r>
      <w:hyperlink w:anchor="ref-heinila2018">
        <w:r>
          <w:rPr>
            <w:rStyle w:val="Hyperlink"/>
          </w:rPr>
          <w:t xml:space="preserve">2018</w:t>
        </w:r>
      </w:hyperlink>
      <w:r>
        <w:t xml:space="preserve">)</w:t>
      </w:r>
      <w:r>
        <w:t xml:space="preserv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47"/>
    <w:bookmarkEnd w:id="148"/>
    <w:bookmarkStart w:id="152" w:name="sec:pxl-pisungli"/>
    <w:p>
      <w:pPr>
        <w:pStyle w:val="berschrift4"/>
      </w:pPr>
      <w:r>
        <w:rPr>
          <w:rStyle w:val="VerbatimChar"/>
        </w:rPr>
        <w:t xml:space="preserve">2.9.</w:t>
      </w:r>
      <w:r>
        <w:t xml:space="preserve"> </w:t>
      </w:r>
      <w:r>
        <w:t xml:space="preserve">Sun Glint</w:t>
      </w:r>
    </w:p>
    <w:p>
      <w:pPr>
        <w:pStyle w:val="FirstParagraph"/>
      </w:pPr>
      <w:r>
        <w:t xml:space="preserve">Identifier:</w:t>
      </w:r>
      <w:r>
        <w:t xml:space="preserve"> </w:t>
      </w:r>
      <w:r>
        <w:rPr>
          <w:rStyle w:val="VerbatimChar"/>
        </w:rPr>
        <w:t xml:space="preserve">pxl-pisungli</w:t>
      </w:r>
    </w:p>
    <w:bookmarkStart w:id="149" w:name="threshold-requirements-27"/>
    <w:p>
      <w:pPr>
        <w:pStyle w:val="berschrift5"/>
      </w:pPr>
      <w:r>
        <w:t xml:space="preserve">Threshold requirements:</w:t>
      </w:r>
    </w:p>
    <w:p>
      <w:pPr>
        <w:pStyle w:val="FirstParagraph"/>
      </w:pPr>
      <w:r>
        <w:t xml:space="preserve">Specification of whether sun glint in a pixel is negligible, correctable (moderate), or uncorrectable (severe).</w:t>
      </w:r>
    </w:p>
    <w:p>
      <w:pPr>
        <w:pStyle w:val="Textkrper"/>
      </w:pPr>
      <w:r>
        <w:t xml:space="preserve">Notes:</w:t>
      </w:r>
    </w:p>
    <w:p>
      <w:pPr>
        <w:pStyle w:val="Compact"/>
        <w:numPr>
          <w:ilvl w:val="0"/>
          <w:numId w:val="1039"/>
        </w:numPr>
      </w:pPr>
      <w:r>
        <w:t xml:space="preserve">Sun glint is deemed uncorrectable if the upper limit of the dynamic range of a sensor’s spectral band is reached (i.e., radiometric saturation occurs).</w:t>
      </w:r>
    </w:p>
    <w:p>
      <w:pPr>
        <w:pStyle w:val="Compact"/>
        <w:numPr>
          <w:ilvl w:val="0"/>
          <w:numId w:val="103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Kay et al. (</w:t>
      </w:r>
      <w:hyperlink w:anchor="ref-kay2013">
        <w:r>
          <w:rPr>
            <w:rStyle w:val="Hyperlink"/>
          </w:rPr>
          <w:t xml:space="preserve">2013</w:t>
        </w:r>
      </w:hyperlink>
      <w:r>
        <w:t xml:space="preserve">)</w:t>
      </w:r>
      <w:r>
        <w:t xml:space="preserve">, and</w:t>
      </w:r>
      <w:r>
        <w:t xml:space="preserve"> </w:t>
      </w:r>
      <w:r>
        <w:t xml:space="preserve">Bourg (</w:t>
      </w:r>
      <w:hyperlink w:anchor="ref-bourg2014">
        <w:r>
          <w:rPr>
            <w:rStyle w:val="Hyperlink"/>
          </w:rPr>
          <w:t xml:space="preserve">2014</w:t>
        </w:r>
      </w:hyperlink>
      <w:r>
        <w:t xml:space="preserve">)</w:t>
      </w:r>
      <w:r>
        <w:t xml:space="preserve">.</w:t>
      </w:r>
    </w:p>
    <w:bookmarkEnd w:id="149"/>
    <w:bookmarkStart w:id="150" w:name="goal-requirements-27"/>
    <w:p>
      <w:pPr>
        <w:pStyle w:val="berschrift5"/>
      </w:pPr>
      <w:r>
        <w:t xml:space="preserve">Goal requirements:</w:t>
      </w:r>
    </w:p>
    <w:p>
      <w:pPr>
        <w:pStyle w:val="FirstParagraph"/>
      </w:pPr>
      <w:r>
        <w:t xml:space="preserve">Specification of the amount of sun glint for each pixel and spectral band.</w:t>
      </w:r>
    </w:p>
    <w:p>
      <w:pPr>
        <w:pStyle w:val="Textkrper"/>
      </w:pPr>
      <w:r>
        <w:t xml:space="preserve">Notes:</w:t>
      </w:r>
    </w:p>
    <w:p>
      <w:pPr>
        <w:pStyle w:val="Compact"/>
        <w:numPr>
          <w:ilvl w:val="0"/>
          <w:numId w:val="1040"/>
        </w:numPr>
      </w:pPr>
      <w:r>
        <w:t xml:space="preserve">An additional product must be provided to specify the amount.</w:t>
      </w:r>
    </w:p>
    <w:p>
      <w:pPr>
        <w:pStyle w:val="Compact"/>
        <w:numPr>
          <w:ilvl w:val="0"/>
          <w:numId w:val="1040"/>
        </w:numPr>
      </w:pPr>
      <w:r>
        <w:t xml:space="preserve">See</w:t>
      </w:r>
      <w:r>
        <w:t xml:space="preserve"> </w:t>
      </w:r>
      <w:hyperlink w:anchor="sec:pral-cosungli">
        <w:r>
          <w:rPr>
            <w:rStyle w:val="Hyperlink"/>
          </w:rPr>
          <w:t xml:space="preserve">Products and Algorithms: Sun Glint Correction</w:t>
        </w:r>
      </w:hyperlink>
      <w:r>
        <w:t xml:space="preserve"> </w:t>
      </w:r>
      <w:r>
        <w:t xml:space="preserve">and</w:t>
      </w:r>
      <w:r>
        <w:t xml:space="preserve"> </w:t>
      </w:r>
      <w:r>
        <w:t xml:space="preserve">Fink (</w:t>
      </w:r>
      <w:hyperlink w:anchor="ref-fink2014">
        <w:r>
          <w:rPr>
            <w:rStyle w:val="Hyperlink"/>
          </w:rPr>
          <w:t xml:space="preserve">2014</w:t>
        </w:r>
      </w:hyperlink>
      <w:r>
        <w:t xml:space="preserve">)</w:t>
      </w:r>
      <w:r>
        <w:t xml:space="preserve">.</w:t>
      </w:r>
    </w:p>
    <w:bookmarkEnd w:id="150"/>
    <w:bookmarkStart w:id="151"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51"/>
    <w:bookmarkEnd w:id="152"/>
    <w:bookmarkStart w:id="156" w:name="sec:pxl-piskygli"/>
    <w:p>
      <w:pPr>
        <w:pStyle w:val="berschrift4"/>
      </w:pPr>
      <w:r>
        <w:rPr>
          <w:rStyle w:val="VerbatimChar"/>
        </w:rPr>
        <w:t xml:space="preserve">2.10.</w:t>
      </w:r>
      <w:r>
        <w:t xml:space="preserve"> </w:t>
      </w:r>
      <w:r>
        <w:t xml:space="preserve">Sky Glint</w:t>
      </w:r>
    </w:p>
    <w:p>
      <w:pPr>
        <w:pStyle w:val="FirstParagraph"/>
      </w:pPr>
      <w:r>
        <w:t xml:space="preserve">Identifier:</w:t>
      </w:r>
      <w:r>
        <w:t xml:space="preserve"> </w:t>
      </w:r>
      <w:r>
        <w:rPr>
          <w:rStyle w:val="VerbatimChar"/>
        </w:rPr>
        <w:t xml:space="preserve">pxl-piskygli</w:t>
      </w:r>
    </w:p>
    <w:bookmarkStart w:id="153" w:name="threshold-requirements-28"/>
    <w:p>
      <w:pPr>
        <w:pStyle w:val="berschrift5"/>
      </w:pPr>
      <w:r>
        <w:t xml:space="preserve">Threshold requirements:</w:t>
      </w:r>
    </w:p>
    <w:p>
      <w:pPr>
        <w:pStyle w:val="FirstParagraph"/>
      </w:pPr>
      <w:r>
        <w:t xml:space="preserve">Not required.</w:t>
      </w:r>
      <w:r>
        <w:t xml:space="preserve"> </w:t>
      </w:r>
    </w:p>
    <w:bookmarkEnd w:id="153"/>
    <w:bookmarkStart w:id="154" w:name="goal-requirements-28"/>
    <w:p>
      <w:pPr>
        <w:pStyle w:val="berschrift5"/>
      </w:pPr>
      <w:r>
        <w:t xml:space="preserve">Goal requirements:</w:t>
      </w:r>
    </w:p>
    <w:p>
      <w:pPr>
        <w:pStyle w:val="FirstParagraph"/>
      </w:pPr>
      <w:r>
        <w:t xml:space="preserve">Specification of the amount of sky glint for each pixel and spectral band.</w:t>
      </w:r>
    </w:p>
    <w:p>
      <w:pPr>
        <w:pStyle w:val="Textkrper"/>
      </w:pPr>
      <w:r>
        <w:t xml:space="preserve">Notes:</w:t>
      </w:r>
    </w:p>
    <w:p>
      <w:pPr>
        <w:pStyle w:val="Compact"/>
        <w:numPr>
          <w:ilvl w:val="0"/>
          <w:numId w:val="1042"/>
        </w:numPr>
      </w:pPr>
      <w:r>
        <w:t xml:space="preserve">An additional product must be provided to specify the amount.</w:t>
      </w:r>
    </w:p>
    <w:p>
      <w:pPr>
        <w:pStyle w:val="Compact"/>
        <w:numPr>
          <w:ilvl w:val="0"/>
          <w:numId w:val="1042"/>
        </w:numPr>
      </w:pPr>
      <w:r>
        <w:t xml:space="preserve">Sky glint is the at-water-surface reflected component of the diffuse downwelling irradiance.</w:t>
      </w:r>
    </w:p>
    <w:p>
      <w:pPr>
        <w:pStyle w:val="Compact"/>
        <w:numPr>
          <w:ilvl w:val="0"/>
          <w:numId w:val="1042"/>
        </w:numPr>
      </w:pPr>
      <w:r>
        <w:t xml:space="preserve">See</w:t>
      </w:r>
      <w:r>
        <w:t xml:space="preserve"> </w:t>
      </w:r>
      <w:hyperlink w:anchor="sec:pral-coskygli">
        <w:r>
          <w:rPr>
            <w:rStyle w:val="Hyperlink"/>
          </w:rPr>
          <w:t xml:space="preserve">Products and Algorithms: Sky Glint Correction</w:t>
        </w:r>
      </w:hyperlink>
      <w:r>
        <w:t xml:space="preserve">,</w:t>
      </w:r>
      <w:r>
        <w:t xml:space="preserve"> </w:t>
      </w:r>
      <w:r>
        <w:t xml:space="preserve">Reusen et al. (</w:t>
      </w:r>
      <w:hyperlink w:anchor="ref-reusen2023">
        <w:r>
          <w:rPr>
            <w:rStyle w:val="Hyperlink"/>
          </w:rPr>
          <w:t xml:space="preserve">2023</w:t>
        </w:r>
      </w:hyperlink>
      <w:r>
        <w:t xml:space="preserve">)</w:t>
      </w:r>
      <w:r>
        <w:t xml:space="preserve">, and</w:t>
      </w:r>
      <w:r>
        <w:t xml:space="preserve"> </w:t>
      </w:r>
      <w:r>
        <w:t xml:space="preserve">Fink (</w:t>
      </w:r>
      <w:hyperlink w:anchor="ref-fink2014">
        <w:r>
          <w:rPr>
            <w:rStyle w:val="Hyperlink"/>
          </w:rPr>
          <w:t xml:space="preserve">2014</w:t>
        </w:r>
      </w:hyperlink>
      <w:r>
        <w:t xml:space="preserve">)</w:t>
      </w:r>
      <w:r>
        <w:t xml:space="preserve">.</w:t>
      </w:r>
    </w:p>
    <w:bookmarkEnd w:id="154"/>
    <w:bookmarkStart w:id="155" w:name="assessment-28"/>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55"/>
    <w:bookmarkEnd w:id="156"/>
    <w:bookmarkStart w:id="160" w:name="sec:pxl-vigeso-ar"/>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57" w:name="threshold-requirements-29"/>
    <w:p>
      <w:pPr>
        <w:pStyle w:val="berschrift5"/>
      </w:pPr>
      <w:r>
        <w:t xml:space="preserve">Threshold requirements:</w:t>
      </w:r>
    </w:p>
    <w:p>
      <w:pPr>
        <w:pStyle w:val="FirstParagraph"/>
      </w:pPr>
      <w:r>
        <w:t xml:space="preserve">Specification of the solar and sensor viewing azimuth and zenith angles.</w:t>
      </w:r>
    </w:p>
    <w:bookmarkEnd w:id="157"/>
    <w:bookmarkStart w:id="158" w:name="goal-requirements-29"/>
    <w:p>
      <w:pPr>
        <w:pStyle w:val="berschrift5"/>
      </w:pPr>
      <w:r>
        <w:t xml:space="preserve">Goal requirements:</w:t>
      </w:r>
    </w:p>
    <w:p>
      <w:pPr>
        <w:pStyle w:val="FirstParagraph"/>
      </w:pPr>
      <w:r>
        <w:t xml:space="preserve">As threshold.</w:t>
      </w:r>
      <w:r>
        <w:t xml:space="preserve"> </w:t>
      </w:r>
    </w:p>
    <w:bookmarkEnd w:id="158"/>
    <w:bookmarkStart w:id="159"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9"/>
    <w:bookmarkEnd w:id="160"/>
    <w:bookmarkStart w:id="164" w:name="sec:pxl-piwhifo"/>
    <w:p>
      <w:pPr>
        <w:pStyle w:val="berschrift4"/>
      </w:pPr>
      <w:r>
        <w:rPr>
          <w:rStyle w:val="VerbatimChar"/>
        </w:rPr>
        <w:t xml:space="preserve">2.12.</w:t>
      </w:r>
      <w:r>
        <w:t xml:space="preserve"> </w:t>
      </w:r>
      <w:r>
        <w:t xml:space="preserve">Whitecap / Foam</w:t>
      </w:r>
    </w:p>
    <w:p>
      <w:pPr>
        <w:pStyle w:val="FirstParagraph"/>
      </w:pPr>
      <w:r>
        <w:t xml:space="preserve">Identifier:</w:t>
      </w:r>
      <w:r>
        <w:t xml:space="preserve"> </w:t>
      </w:r>
      <w:r>
        <w:rPr>
          <w:rStyle w:val="VerbatimChar"/>
        </w:rPr>
        <w:t xml:space="preserve">pxl-piwhifo</w:t>
      </w:r>
    </w:p>
    <w:bookmarkStart w:id="161" w:name="threshold-requirements-30"/>
    <w:p>
      <w:pPr>
        <w:pStyle w:val="berschrift5"/>
      </w:pPr>
      <w:r>
        <w:t xml:space="preserve">Threshold requirements:</w:t>
      </w:r>
    </w:p>
    <w:p>
      <w:pPr>
        <w:pStyle w:val="FirstParagraph"/>
      </w:pPr>
      <w:r>
        <w:t xml:space="preserve">Not required.</w:t>
      </w:r>
      <w:r>
        <w:t xml:space="preserve"> </w:t>
      </w:r>
    </w:p>
    <w:bookmarkEnd w:id="161"/>
    <w:bookmarkStart w:id="162" w:name="goal-requirements-30"/>
    <w:p>
      <w:pPr>
        <w:pStyle w:val="berschrift5"/>
      </w:pPr>
      <w:r>
        <w:t xml:space="preserve">Goal requirements:</w:t>
      </w:r>
    </w:p>
    <w:p>
      <w:pPr>
        <w:pStyle w:val="FirstParagraph"/>
      </w:pPr>
      <w:r>
        <w:t xml:space="preserve">Specification of whether a pixel is affected by whitecaps or foam.</w:t>
      </w:r>
      <w:r>
        <w:t xml:space="preserve"> </w:t>
      </w:r>
      <w:r>
        <w:t xml:space="preserve">If affected, detail the method applied.</w:t>
      </w:r>
    </w:p>
    <w:p>
      <w:pPr>
        <w:pStyle w:val="Textkrper"/>
      </w:pPr>
      <w:r>
        <w:t xml:space="preserve">Note:</w:t>
      </w:r>
    </w:p>
    <w:p>
      <w:pPr>
        <w:pStyle w:val="Compact"/>
        <w:numPr>
          <w:ilvl w:val="0"/>
          <w:numId w:val="1045"/>
        </w:numPr>
      </w:pPr>
      <w:r>
        <w:t xml:space="preserve">See</w:t>
      </w:r>
      <w:r>
        <w:t xml:space="preserve"> </w:t>
      </w:r>
      <w:hyperlink w:anchor="sec:pral-cowhifo">
        <w:r>
          <w:rPr>
            <w:rStyle w:val="Hyperlink"/>
          </w:rPr>
          <w:t xml:space="preserve">Products and Algorithms: Whitecap / Foam Correction</w:t>
        </w:r>
      </w:hyperlink>
      <w:r>
        <w:t xml:space="preserv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 and</w:t>
      </w:r>
      <w:r>
        <w:t xml:space="preserve"> </w:t>
      </w:r>
      <w:r>
        <w:t xml:space="preserve">EUMETSAT (</w:t>
      </w:r>
      <w:hyperlink w:anchor="ref-eumetsat2021">
        <w:r>
          <w:rPr>
            <w:rStyle w:val="Hyperlink"/>
          </w:rPr>
          <w:t xml:space="preserve">2021</w:t>
        </w:r>
      </w:hyperlink>
      <w:r>
        <w:t xml:space="preserve">)</w:t>
      </w:r>
      <w:r>
        <w:t xml:space="preserve">.</w:t>
      </w:r>
    </w:p>
    <w:bookmarkEnd w:id="162"/>
    <w:bookmarkStart w:id="163"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3"/>
    <w:bookmarkEnd w:id="164"/>
    <w:bookmarkStart w:id="168" w:name="sec:pxl-paodpara"/>
    <w:p>
      <w:pPr>
        <w:pStyle w:val="berschrift4"/>
      </w:pPr>
      <w:r>
        <w:rPr>
          <w:rStyle w:val="VerbatimChar"/>
        </w:rPr>
        <w:t xml:space="preserve">2.13.</w:t>
      </w:r>
      <w:r>
        <w:t xml:space="preserve"> </w:t>
      </w:r>
      <w:r>
        <w:t xml:space="preserve">Aerosol Optical Depth Parameters</w:t>
      </w:r>
    </w:p>
    <w:p>
      <w:pPr>
        <w:pStyle w:val="FirstParagraph"/>
      </w:pPr>
      <w:r>
        <w:t xml:space="preserve">Identifier:</w:t>
      </w:r>
      <w:r>
        <w:t xml:space="preserve"> </w:t>
      </w:r>
      <w:r>
        <w:rPr>
          <w:rStyle w:val="VerbatimChar"/>
        </w:rPr>
        <w:t xml:space="preserve">pxl-paodpara</w:t>
      </w:r>
    </w:p>
    <w:bookmarkStart w:id="165" w:name="threshold-requirements-31"/>
    <w:p>
      <w:pPr>
        <w:pStyle w:val="berschrift5"/>
      </w:pPr>
      <w:r>
        <w:t xml:space="preserve">Threshold requirements:</w:t>
      </w:r>
    </w:p>
    <w:p>
      <w:pPr>
        <w:pStyle w:val="FirstParagraph"/>
      </w:pPr>
      <w:r>
        <w:t xml:space="preserve">Not required.</w:t>
      </w:r>
      <w:r>
        <w:t xml:space="preserve"> </w:t>
      </w:r>
    </w:p>
    <w:bookmarkEnd w:id="165"/>
    <w:bookmarkStart w:id="166" w:name="goal-requirements-31"/>
    <w:p>
      <w:pPr>
        <w:pStyle w:val="berschrift5"/>
      </w:pPr>
      <w:r>
        <w:t xml:space="preserve">Goal requirements:</w:t>
      </w:r>
    </w:p>
    <w:p>
      <w:pPr>
        <w:pStyle w:val="FirstParagraph"/>
      </w:pPr>
      <w:r>
        <w:t xml:space="preserve">Either per-pixel spectral AOD or per-pixel AOD (550 nm) and Angstrom exponent are provided.</w:t>
      </w:r>
    </w:p>
    <w:p>
      <w:pPr>
        <w:pStyle w:val="Textkrper"/>
      </w:pPr>
      <w:r>
        <w:t xml:space="preserve">Note:</w:t>
      </w:r>
    </w:p>
    <w:p>
      <w:pPr>
        <w:pStyle w:val="Compact"/>
        <w:numPr>
          <w:ilvl w:val="0"/>
          <w:numId w:val="1047"/>
        </w:numPr>
      </w:pPr>
      <w:r>
        <w:t xml:space="preserve">This might be an input or an output parameter.</w:t>
      </w:r>
    </w:p>
    <w:bookmarkEnd w:id="166"/>
    <w:bookmarkStart w:id="167"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7"/>
    <w:bookmarkEnd w:id="168"/>
    <w:bookmarkStart w:id="172" w:name="sec:pxl-pajdeff"/>
    <w:p>
      <w:pPr>
        <w:pStyle w:val="berschrift4"/>
      </w:pPr>
      <w:r>
        <w:rPr>
          <w:rStyle w:val="VerbatimChar"/>
        </w:rPr>
        <w:t xml:space="preserve">2.14.</w:t>
      </w:r>
      <w:r>
        <w:t xml:space="preserve"> </w:t>
      </w:r>
      <w:r>
        <w:t xml:space="preserve">Adjacency Effects</w:t>
      </w:r>
    </w:p>
    <w:p>
      <w:pPr>
        <w:pStyle w:val="FirstParagraph"/>
      </w:pPr>
      <w:r>
        <w:t xml:space="preserve">Identifier:</w:t>
      </w:r>
      <w:r>
        <w:t xml:space="preserve"> </w:t>
      </w:r>
      <w:r>
        <w:rPr>
          <w:rStyle w:val="VerbatimChar"/>
        </w:rPr>
        <w:t xml:space="preserve">pxl-pajdeff</w:t>
      </w:r>
    </w:p>
    <w:bookmarkStart w:id="169" w:name="threshold-requirements-32"/>
    <w:p>
      <w:pPr>
        <w:pStyle w:val="berschrift5"/>
      </w:pPr>
      <w:r>
        <w:t xml:space="preserve">Threshold requirements:</w:t>
      </w:r>
    </w:p>
    <w:p>
      <w:pPr>
        <w:pStyle w:val="FirstParagraph"/>
      </w:pPr>
      <w:r>
        <w:t xml:space="preserve">Not required.</w:t>
      </w:r>
      <w:r>
        <w:t xml:space="preserve"> </w:t>
      </w:r>
    </w:p>
    <w:bookmarkEnd w:id="169"/>
    <w:bookmarkStart w:id="170" w:name="goal-requirements-32"/>
    <w:p>
      <w:pPr>
        <w:pStyle w:val="berschrift5"/>
      </w:pPr>
      <w:r>
        <w:t xml:space="preserve">Goal requirements:</w:t>
      </w:r>
    </w:p>
    <w:p>
      <w:pPr>
        <w:pStyle w:val="FirstParagraph"/>
      </w:pPr>
      <w:r>
        <w:t xml:space="preserve">Depending on the adjacency effects correction method (embedded in the atmospheric correction or separate from the atmospheric correction) the metadata specifies the amount of per-pixel adjacency effect contamination.</w:t>
      </w:r>
    </w:p>
    <w:p>
      <w:pPr>
        <w:pStyle w:val="Textkrper"/>
      </w:pPr>
      <w:r>
        <w:t xml:space="preserve">Notes:</w:t>
      </w:r>
    </w:p>
    <w:p>
      <w:pPr>
        <w:pStyle w:val="Compact"/>
        <w:numPr>
          <w:ilvl w:val="0"/>
          <w:numId w:val="1049"/>
        </w:numPr>
      </w:pPr>
      <w:r>
        <w:t xml:space="preserve">An additional product must be provided to specify the amount.</w:t>
      </w:r>
    </w:p>
    <w:p>
      <w:pPr>
        <w:pStyle w:val="Compact"/>
        <w:numPr>
          <w:ilvl w:val="0"/>
          <w:numId w:val="1049"/>
        </w:numPr>
      </w:pPr>
      <w:r>
        <w:t xml:space="preserve">See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Bulgarelli et al. (</w:t>
      </w:r>
      <w:hyperlink w:anchor="ref-bulgarelli2014">
        <w:r>
          <w:rPr>
            <w:rStyle w:val="Hyperlink"/>
          </w:rPr>
          <w:t xml:space="preserve">2014</w:t>
        </w:r>
      </w:hyperlink>
      <w:r>
        <w:t xml:space="preserve">)</w:t>
      </w:r>
      <w:r>
        <w:t xml:space="preserve">,</w:t>
      </w:r>
      <w:r>
        <w:t xml:space="preserve"> </w:t>
      </w:r>
      <w:r>
        <w:t xml:space="preserve">Bulgarelli and Zibordi (</w:t>
      </w:r>
      <w:hyperlink w:anchor="ref-bulgarelli2018">
        <w:r>
          <w:rPr>
            <w:rStyle w:val="Hyperlink"/>
          </w:rPr>
          <w:t xml:space="preserve">2018</w:t>
        </w:r>
      </w:hyperlink>
      <w:r>
        <w:t xml:space="preserve">)</w:t>
      </w:r>
      <w:r>
        <w:t xml:space="preserve">,</w:t>
      </w:r>
      <w:r>
        <w:t xml:space="preserve"> </w:t>
      </w:r>
      <w:r>
        <w:t xml:space="preserve">Sei (</w:t>
      </w:r>
      <w:hyperlink w:anchor="ref-sei2015">
        <w:r>
          <w:rPr>
            <w:rStyle w:val="Hyperlink"/>
          </w:rPr>
          <w:t xml:space="preserve">2015</w:t>
        </w:r>
      </w:hyperlink>
      <w:r>
        <w:t xml:space="preserve">)</w:t>
      </w:r>
      <w:r>
        <w:t xml:space="preserve">, and</w:t>
      </w:r>
      <w:r>
        <w:t xml:space="preserve"> </w:t>
      </w:r>
      <w:r>
        <w:t xml:space="preserve">Wu et al. (</w:t>
      </w:r>
      <w:hyperlink w:anchor="ref-wu2023">
        <w:r>
          <w:rPr>
            <w:rStyle w:val="Hyperlink"/>
          </w:rPr>
          <w:t xml:space="preserve">2023</w:t>
        </w:r>
      </w:hyperlink>
      <w:r>
        <w:t xml:space="preserve">)</w:t>
      </w:r>
      <w:r>
        <w:t xml:space="preserve">.</w:t>
      </w:r>
    </w:p>
    <w:bookmarkEnd w:id="170"/>
    <w:bookmarkStart w:id="171" w:name="assessment-32"/>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p>
      <w:r>
        <w:pict>
          <v:rect style="width:0;height:1.5pt" o:hralign="center" o:hrstd="t" o:hr="t"/>
        </w:pict>
      </w:r>
    </w:p>
    <w:bookmarkEnd w:id="171"/>
    <w:bookmarkEnd w:id="172"/>
    <w:bookmarkStart w:id="176" w:name="sec:pxl-floatveg"/>
    <w:p>
      <w:pPr>
        <w:pStyle w:val="berschrift4"/>
      </w:pPr>
      <w:r>
        <w:rPr>
          <w:rStyle w:val="VerbatimChar"/>
        </w:rPr>
        <w:t xml:space="preserve">2.15.</w:t>
      </w:r>
      <w:r>
        <w:t xml:space="preserve"> </w:t>
      </w:r>
      <w:r>
        <w:t xml:space="preserve">Floating Vegetation / Surface Scum</w:t>
      </w:r>
    </w:p>
    <w:p>
      <w:pPr>
        <w:pStyle w:val="FirstParagraph"/>
      </w:pPr>
      <w:r>
        <w:t xml:space="preserve">Identifier:</w:t>
      </w:r>
      <w:r>
        <w:t xml:space="preserve"> </w:t>
      </w:r>
      <w:r>
        <w:rPr>
          <w:rStyle w:val="VerbatimChar"/>
        </w:rPr>
        <w:t xml:space="preserve">pxl-floatveg</w:t>
      </w:r>
    </w:p>
    <w:bookmarkStart w:id="173" w:name="threshold-requirements-33"/>
    <w:p>
      <w:pPr>
        <w:pStyle w:val="berschrift5"/>
      </w:pPr>
      <w:r>
        <w:t xml:space="preserve">Threshold requirements:</w:t>
      </w:r>
    </w:p>
    <w:p>
      <w:pPr>
        <w:pStyle w:val="FirstParagraph"/>
      </w:pPr>
      <w:r>
        <w:t xml:space="preserve">Specification of whether a pixel is affected by floating vegetation/surface scum.</w:t>
      </w:r>
    </w:p>
    <w:p>
      <w:pPr>
        <w:pStyle w:val="Textkrper"/>
      </w:pPr>
      <w:r>
        <w:t xml:space="preserve">Note:</w:t>
      </w:r>
    </w:p>
    <w:p>
      <w:pPr>
        <w:pStyle w:val="Compact"/>
        <w:numPr>
          <w:ilvl w:val="0"/>
          <w:numId w:val="1051"/>
        </w:numPr>
      </w:pPr>
      <w:r>
        <w:t xml:space="preserve">See</w:t>
      </w:r>
      <w:r>
        <w:t xml:space="preserve"> </w:t>
      </w:r>
      <w:r>
        <w:t xml:space="preserve">Bell (</w:t>
      </w:r>
      <w:hyperlink w:anchor="ref-bell2023">
        <w:r>
          <w:rPr>
            <w:rStyle w:val="Hyperlink"/>
          </w:rPr>
          <w:t xml:space="preserve">2023</w:t>
        </w:r>
      </w:hyperlink>
      <w:r>
        <w:t xml:space="preserve">)</w:t>
      </w:r>
      <w:r>
        <w:t xml:space="preserve">,</w:t>
      </w:r>
      <w:r>
        <w:t xml:space="preserve"> </w:t>
      </w:r>
      <w:r>
        <w:t xml:space="preserve">Bresciani et al. (</w:t>
      </w:r>
      <w:hyperlink w:anchor="ref-bresciani2014">
        <w:r>
          <w:rPr>
            <w:rStyle w:val="Hyperlink"/>
          </w:rPr>
          <w:t xml:space="preserve">2014</w:t>
        </w:r>
      </w:hyperlink>
      <w:r>
        <w:t xml:space="preserve">)</w:t>
      </w:r>
      <w:r>
        <w:t xml:space="preserve">,</w:t>
      </w:r>
      <w:r>
        <w:t xml:space="preserve"> </w:t>
      </w:r>
      <w:r>
        <w:t xml:space="preserve">Gendall et al. (</w:t>
      </w:r>
      <w:hyperlink w:anchor="ref-gendall2023">
        <w:r>
          <w:rPr>
            <w:rStyle w:val="Hyperlink"/>
          </w:rPr>
          <w:t xml:space="preserve">2023</w:t>
        </w:r>
      </w:hyperlink>
      <w:r>
        <w:t xml:space="preserve">)</w:t>
      </w:r>
      <w:r>
        <w:t xml:space="preserve">,</w:t>
      </w:r>
      <w:r>
        <w:t xml:space="preserve"> </w:t>
      </w:r>
      <w:r>
        <w:t xml:space="preserve">Hu (</w:t>
      </w:r>
      <w:hyperlink w:anchor="ref-hu2009">
        <w:r>
          <w:rPr>
            <w:rStyle w:val="Hyperlink"/>
          </w:rPr>
          <w:t xml:space="preserve">2009</w:t>
        </w:r>
      </w:hyperlink>
      <w:r>
        <w:t xml:space="preserve">)</w:t>
      </w:r>
      <w:r>
        <w:t xml:space="preserve">,</w:t>
      </w:r>
      <w:r>
        <w:t xml:space="preserve"> </w:t>
      </w:r>
      <w:r>
        <w:t xml:space="preserve">Matthews et al. (</w:t>
      </w:r>
      <w:hyperlink w:anchor="ref-matthews2012">
        <w:r>
          <w:rPr>
            <w:rStyle w:val="Hyperlink"/>
          </w:rPr>
          <w:t xml:space="preserve">2012</w:t>
        </w:r>
      </w:hyperlink>
      <w:r>
        <w:t xml:space="preserve">)</w:t>
      </w:r>
      <w:r>
        <w:t xml:space="preserve">, and</w:t>
      </w:r>
      <w:r>
        <w:t xml:space="preserve"> </w:t>
      </w:r>
      <w:r>
        <w:t xml:space="preserve">Matthews and Odermatt (</w:t>
      </w:r>
      <w:hyperlink w:anchor="ref-matthews2015">
        <w:r>
          <w:rPr>
            <w:rStyle w:val="Hyperlink"/>
          </w:rPr>
          <w:t xml:space="preserve">2015</w:t>
        </w:r>
      </w:hyperlink>
      <w:r>
        <w:t xml:space="preserve">)</w:t>
      </w:r>
      <w:r>
        <w:t xml:space="preserve">.</w:t>
      </w:r>
    </w:p>
    <w:bookmarkEnd w:id="173"/>
    <w:bookmarkStart w:id="174" w:name="goal-requirements-33"/>
    <w:p>
      <w:pPr>
        <w:pStyle w:val="berschrift5"/>
      </w:pPr>
      <w:r>
        <w:t xml:space="preserve">Goal requirements:</w:t>
      </w:r>
    </w:p>
    <w:p>
      <w:pPr>
        <w:pStyle w:val="FirstParagraph"/>
      </w:pPr>
      <w:r>
        <w:t xml:space="preserve">As threshold.</w:t>
      </w:r>
      <w:r>
        <w:t xml:space="preserve"> </w:t>
      </w:r>
    </w:p>
    <w:bookmarkEnd w:id="174"/>
    <w:bookmarkStart w:id="175" w:name="assessment-33"/>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5"/>
    <w:bookmarkEnd w:id="176"/>
    <w:bookmarkStart w:id="180" w:name="sec:pxl-pibathy"/>
    <w:p>
      <w:pPr>
        <w:pStyle w:val="berschrift4"/>
      </w:pPr>
      <w:r>
        <w:rPr>
          <w:rStyle w:val="VerbatimChar"/>
        </w:rPr>
        <w:t xml:space="preserve">2.16.</w:t>
      </w:r>
      <w:r>
        <w:t xml:space="preserve"> </w:t>
      </w:r>
      <w:r>
        <w:t xml:space="preserve">Bathymetry</w:t>
      </w:r>
    </w:p>
    <w:p>
      <w:pPr>
        <w:pStyle w:val="FirstParagraph"/>
      </w:pPr>
      <w:r>
        <w:t xml:space="preserve">Identifier:</w:t>
      </w:r>
      <w:r>
        <w:t xml:space="preserve"> </w:t>
      </w:r>
      <w:r>
        <w:rPr>
          <w:rStyle w:val="VerbatimChar"/>
        </w:rPr>
        <w:t xml:space="preserve">pxl-pibathy</w:t>
      </w:r>
    </w:p>
    <w:bookmarkStart w:id="177" w:name="threshold-requirements-34"/>
    <w:p>
      <w:pPr>
        <w:pStyle w:val="berschrift5"/>
      </w:pPr>
      <w:r>
        <w:t xml:space="preserve">Threshold requirements:</w:t>
      </w:r>
    </w:p>
    <w:p>
      <w:pPr>
        <w:pStyle w:val="FirstParagraph"/>
      </w:pPr>
      <w:r>
        <w:t xml:space="preserve">Not required.</w:t>
      </w:r>
      <w:r>
        <w:t xml:space="preserve"> </w:t>
      </w:r>
    </w:p>
    <w:bookmarkEnd w:id="177"/>
    <w:bookmarkStart w:id="178" w:name="goal-requirements-34"/>
    <w:p>
      <w:pPr>
        <w:pStyle w:val="berschrift5"/>
      </w:pPr>
      <w:r>
        <w:t xml:space="preserve">Goal requirements:</w:t>
      </w:r>
    </w:p>
    <w:p>
      <w:pPr>
        <w:pStyle w:val="FirstParagraph"/>
      </w:pPr>
      <w:r>
        <w:t xml:space="preserve">Water surface to bottom substratum depth (i.e., water column depth) at the specific pixel location is specified.</w:t>
      </w:r>
    </w:p>
    <w:p>
      <w:pPr>
        <w:pStyle w:val="Textkrper"/>
      </w:pPr>
      <w:r>
        <w:t xml:space="preserve">Notes:</w:t>
      </w:r>
    </w:p>
    <w:p>
      <w:pPr>
        <w:pStyle w:val="Compact"/>
        <w:numPr>
          <w:ilvl w:val="0"/>
          <w:numId w:val="1053"/>
        </w:numPr>
      </w:pPr>
      <w:r>
        <w:t xml:space="preserve">Specify whether a recalculation to a mean sea level has taken place for oceanic waters.</w:t>
      </w:r>
    </w:p>
    <w:p>
      <w:pPr>
        <w:pStyle w:val="Compact"/>
        <w:numPr>
          <w:ilvl w:val="0"/>
          <w:numId w:val="1053"/>
        </w:numPr>
      </w:pPr>
      <w:r>
        <w:t xml:space="preserve">Specify whether a recalculation to a mean water surface level has taken place for any non-oceanic waters.</w:t>
      </w:r>
    </w:p>
    <w:p>
      <w:pPr>
        <w:pStyle w:val="Compact"/>
        <w:numPr>
          <w:ilvl w:val="0"/>
          <w:numId w:val="1053"/>
        </w:numPr>
      </w:pPr>
      <w:r>
        <w:t xml:space="preserve">See</w:t>
      </w:r>
      <w:r>
        <w:t xml:space="preserve"> </w:t>
      </w:r>
      <w:r>
        <w:t xml:space="preserve">Hartmann et al. (</w:t>
      </w:r>
      <w:hyperlink w:anchor="ref-hartmann2022">
        <w:r>
          <w:rPr>
            <w:rStyle w:val="Hyperlink"/>
          </w:rPr>
          <w:t xml:space="preserve">2022</w:t>
        </w:r>
      </w:hyperlink>
      <w:r>
        <w:t xml:space="preserve">)</w:t>
      </w:r>
      <w:r>
        <w:t xml:space="preserve">,</w:t>
      </w:r>
      <w:r>
        <w:t xml:space="preserve"> </w:t>
      </w:r>
      <w:r>
        <w:t xml:space="preserve">Khazaei et al. (</w:t>
      </w:r>
      <w:hyperlink w:anchor="ref-khazaei2022">
        <w:r>
          <w:rPr>
            <w:rStyle w:val="Hyperlink"/>
          </w:rPr>
          <w:t xml:space="preserve">2022</w:t>
        </w:r>
      </w:hyperlink>
      <w:r>
        <w:t xml:space="preserve">)</w:t>
      </w:r>
      <w:r>
        <w:t xml:space="preserve">,</w:t>
      </w:r>
      <w:r>
        <w:t xml:space="preserve"> </w:t>
      </w:r>
      <w:r>
        <w:t xml:space="preserve">Kim et al. (</w:t>
      </w:r>
      <w:hyperlink w:anchor="ref-kim2024">
        <w:r>
          <w:rPr>
            <w:rStyle w:val="Hyperlink"/>
          </w:rPr>
          <w:t xml:space="preserve">2024</w:t>
        </w:r>
      </w:hyperlink>
      <w:r>
        <w:t xml:space="preserve">)</w:t>
      </w:r>
      <w:r>
        <w:t xml:space="preserve">,</w:t>
      </w:r>
      <w:r>
        <w:t xml:space="preserve"> </w:t>
      </w:r>
      <w:r>
        <w:t xml:space="preserve">Weatherall et al. (</w:t>
      </w:r>
      <w:hyperlink w:anchor="ref-weatherall2015">
        <w:r>
          <w:rPr>
            <w:rStyle w:val="Hyperlink"/>
          </w:rPr>
          <w:t xml:space="preserve">2015</w:t>
        </w:r>
      </w:hyperlink>
      <w:r>
        <w:t xml:space="preserve">)</w:t>
      </w:r>
      <w:r>
        <w:t xml:space="preserve">,</w:t>
      </w:r>
      <w:r>
        <w:t xml:space="preserve"> </w:t>
      </w:r>
      <w:r>
        <w:t xml:space="preserve">GEBCO Bathymetric Compilation Group 2024 (</w:t>
      </w:r>
      <w:hyperlink w:anchor="ref-gebco2024">
        <w:r>
          <w:rPr>
            <w:rStyle w:val="Hyperlink"/>
          </w:rPr>
          <w:t xml:space="preserve">2024</w:t>
        </w:r>
      </w:hyperlink>
      <w:r>
        <w:t xml:space="preserve">)</w:t>
      </w:r>
      <w:r>
        <w:t xml:space="preserve">, and</w:t>
      </w:r>
      <w:r>
        <w:t xml:space="preserve"> </w:t>
      </w:r>
      <w:r>
        <w:t xml:space="preserve">IHO (</w:t>
      </w:r>
      <w:hyperlink w:anchor="ref-iho2024">
        <w:r>
          <w:rPr>
            <w:rStyle w:val="Hyperlink"/>
          </w:rPr>
          <w:t xml:space="preserve">2024</w:t>
        </w:r>
      </w:hyperlink>
      <w:r>
        <w:t xml:space="preserve">)</w:t>
      </w:r>
      <w:r>
        <w:t xml:space="preserve">.</w:t>
      </w:r>
    </w:p>
    <w:bookmarkEnd w:id="178"/>
    <w:bookmarkStart w:id="179" w:name="assessment-34"/>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9"/>
    <w:bookmarkEnd w:id="180"/>
    <w:bookmarkStart w:id="184" w:name="sec:pxl-podosas"/>
    <w:p>
      <w:pPr>
        <w:pStyle w:val="berschrift4"/>
      </w:pPr>
      <w:r>
        <w:rPr>
          <w:rStyle w:val="VerbatimChar"/>
        </w:rPr>
        <w:t xml:space="preserve">2.17.</w:t>
      </w:r>
      <w:r>
        <w:t xml:space="preserve"> </w:t>
      </w:r>
      <w:r>
        <w:t xml:space="preserve">Optically Deep or Optically Shallow Assessment</w:t>
      </w:r>
    </w:p>
    <w:p>
      <w:pPr>
        <w:pStyle w:val="FirstParagraph"/>
      </w:pPr>
      <w:r>
        <w:t xml:space="preserve">Identifier:</w:t>
      </w:r>
      <w:r>
        <w:t xml:space="preserve"> </w:t>
      </w:r>
      <w:r>
        <w:rPr>
          <w:rStyle w:val="VerbatimChar"/>
        </w:rPr>
        <w:t xml:space="preserve">pxl-podosas</w:t>
      </w:r>
    </w:p>
    <w:bookmarkStart w:id="181" w:name="threshold-requirements-35"/>
    <w:p>
      <w:pPr>
        <w:pStyle w:val="berschrift5"/>
      </w:pPr>
      <w:r>
        <w:t xml:space="preserve">Threshold requirements:</w:t>
      </w:r>
    </w:p>
    <w:p>
      <w:pPr>
        <w:pStyle w:val="FirstParagraph"/>
      </w:pPr>
      <w:r>
        <w:t xml:space="preserve">Information regarding whether pixels are optically deep or shallow is provided if there is an assumption during the processing that a pixel is optically deep or optically shallow.</w:t>
      </w:r>
    </w:p>
    <w:p>
      <w:pPr>
        <w:pStyle w:val="Textkrper"/>
      </w:pPr>
      <w:r>
        <w:t xml:space="preserve">Note:</w:t>
      </w:r>
    </w:p>
    <w:p>
      <w:pPr>
        <w:pStyle w:val="Compact"/>
        <w:numPr>
          <w:ilvl w:val="0"/>
          <w:numId w:val="1055"/>
        </w:numPr>
      </w:pPr>
      <w:r>
        <w:t xml:space="preserve">See</w:t>
      </w:r>
      <w:r>
        <w:t xml:space="preserve"> </w:t>
      </w:r>
      <w:r>
        <w:t xml:space="preserve">Kutser et al. (</w:t>
      </w:r>
      <w:hyperlink w:anchor="ref-kutser2020">
        <w:r>
          <w:rPr>
            <w:rStyle w:val="Hyperlink"/>
          </w:rPr>
          <w:t xml:space="preserve">2020</w:t>
        </w:r>
      </w:hyperlink>
      <w:r>
        <w:t xml:space="preserve">)</w:t>
      </w:r>
      <w:r>
        <w:t xml:space="preserve">.</w:t>
      </w:r>
    </w:p>
    <w:bookmarkEnd w:id="181"/>
    <w:bookmarkStart w:id="182" w:name="goal-requirements-35"/>
    <w:p>
      <w:pPr>
        <w:pStyle w:val="berschrift5"/>
      </w:pPr>
      <w:r>
        <w:t xml:space="preserve">Goal requirements:</w:t>
      </w:r>
    </w:p>
    <w:p>
      <w:pPr>
        <w:pStyle w:val="FirstParagraph"/>
      </w:pPr>
      <w:r>
        <w:t xml:space="preserve">A flag that indicates optically deep and shallow waters is provided.</w:t>
      </w:r>
    </w:p>
    <w:p>
      <w:pPr>
        <w:pStyle w:val="Textkrper"/>
      </w:pPr>
      <w:r>
        <w:t xml:space="preserve">Note:</w:t>
      </w:r>
    </w:p>
    <w:p>
      <w:pPr>
        <w:pStyle w:val="Compact"/>
        <w:numPr>
          <w:ilvl w:val="0"/>
          <w:numId w:val="1056"/>
        </w:numPr>
      </w:pPr>
      <w:r>
        <w:t xml:space="preserve">See</w:t>
      </w:r>
      <w:r>
        <w:t xml:space="preserve"> </w:t>
      </w:r>
      <w:r>
        <w:t xml:space="preserve">Brando et al. (</w:t>
      </w:r>
      <w:hyperlink w:anchor="ref-brando2009">
        <w:r>
          <w:rPr>
            <w:rStyle w:val="Hyperlink"/>
          </w:rPr>
          <w:t xml:space="preserve">2009</w:t>
        </w:r>
      </w:hyperlink>
      <w:r>
        <w:t xml:space="preserve">)</w:t>
      </w:r>
      <w:r>
        <w:t xml:space="preserve">,</w:t>
      </w:r>
      <w:r>
        <w:t xml:space="preserve"> </w:t>
      </w:r>
      <w:r>
        <w:t xml:space="preserve">Dekker et al. (</w:t>
      </w:r>
      <w:hyperlink w:anchor="ref-dekker2011">
        <w:r>
          <w:rPr>
            <w:rStyle w:val="Hyperlink"/>
          </w:rPr>
          <w:t xml:space="preserve">2011</w:t>
        </w:r>
      </w:hyperlink>
      <w:r>
        <w:t xml:space="preserve">)</w:t>
      </w:r>
      <w:r>
        <w:t xml:space="preserve">, and</w:t>
      </w:r>
      <w:r>
        <w:t xml:space="preserve"> </w:t>
      </w:r>
      <w:r>
        <w:t xml:space="preserve">Richardson et al. (</w:t>
      </w:r>
      <w:hyperlink w:anchor="ref-richardson2024">
        <w:r>
          <w:rPr>
            <w:rStyle w:val="Hyperlink"/>
          </w:rPr>
          <w:t xml:space="preserve">2024</w:t>
        </w:r>
      </w:hyperlink>
      <w:r>
        <w:t xml:space="preserve">)</w:t>
      </w:r>
      <w:r>
        <w:t xml:space="preserve">.</w:t>
      </w:r>
    </w:p>
    <w:bookmarkEnd w:id="182"/>
    <w:bookmarkStart w:id="183" w:name="assessment-35"/>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83"/>
    <w:bookmarkEnd w:id="184"/>
    <w:bookmarkStart w:id="188" w:name="sec:pxl-powaty"/>
    <w:p>
      <w:pPr>
        <w:pStyle w:val="berschrift4"/>
      </w:pPr>
      <w:r>
        <w:rPr>
          <w:rStyle w:val="VerbatimChar"/>
        </w:rPr>
        <w:t xml:space="preserve">2.18.</w:t>
      </w:r>
      <w:r>
        <w:t xml:space="preserve"> </w:t>
      </w:r>
      <w:r>
        <w:t xml:space="preserve">Optical Water Type</w:t>
      </w:r>
    </w:p>
    <w:p>
      <w:pPr>
        <w:pStyle w:val="FirstParagraph"/>
      </w:pPr>
      <w:r>
        <w:t xml:space="preserve">Identifier:</w:t>
      </w:r>
      <w:r>
        <w:t xml:space="preserve"> </w:t>
      </w:r>
      <w:r>
        <w:rPr>
          <w:rStyle w:val="VerbatimChar"/>
        </w:rPr>
        <w:t xml:space="preserve">pxl-powaty</w:t>
      </w:r>
    </w:p>
    <w:bookmarkStart w:id="185" w:name="threshold-requirements-36"/>
    <w:p>
      <w:pPr>
        <w:pStyle w:val="berschrift5"/>
      </w:pPr>
      <w:r>
        <w:t xml:space="preserve">Threshold requirements:</w:t>
      </w:r>
    </w:p>
    <w:p>
      <w:pPr>
        <w:pStyle w:val="FirstParagraph"/>
      </w:pPr>
      <w:r>
        <w:t xml:space="preserve">Specification of optical water type, when applicable (for optically deep waters).</w:t>
      </w:r>
    </w:p>
    <w:p>
      <w:pPr>
        <w:pStyle w:val="Textkrper"/>
      </w:pPr>
      <w:r>
        <w:t xml:space="preserve">Note:</w:t>
      </w:r>
    </w:p>
    <w:p>
      <w:pPr>
        <w:pStyle w:val="Compact"/>
        <w:numPr>
          <w:ilvl w:val="0"/>
          <w:numId w:val="1058"/>
        </w:numPr>
      </w:pPr>
      <w:r>
        <w:t xml:space="preserve">See</w:t>
      </w:r>
      <w:r>
        <w:t xml:space="preserve"> </w:t>
      </w:r>
      <w:r>
        <w:t xml:space="preserve">Bi and Hieronymi (</w:t>
      </w:r>
      <w:hyperlink w:anchor="ref-hieronymi2024">
        <w:r>
          <w:rPr>
            <w:rStyle w:val="Hyperlink"/>
          </w:rPr>
          <w:t xml:space="preserve">2024</w:t>
        </w:r>
      </w:hyperlink>
      <w:r>
        <w:t xml:space="preserve">)</w:t>
      </w:r>
      <w:r>
        <w:t xml:space="preserve">.</w:t>
      </w:r>
    </w:p>
    <w:bookmarkEnd w:id="185"/>
    <w:bookmarkStart w:id="186" w:name="goal-requirements-36"/>
    <w:p>
      <w:pPr>
        <w:pStyle w:val="berschrift5"/>
      </w:pPr>
      <w:r>
        <w:t xml:space="preserve">Goal requirements:</w:t>
      </w:r>
    </w:p>
    <w:p>
      <w:pPr>
        <w:pStyle w:val="FirstParagraph"/>
      </w:pPr>
      <w:r>
        <w:t xml:space="preserve">As threshold.</w:t>
      </w:r>
      <w:r>
        <w:t xml:space="preserve"> </w:t>
      </w:r>
    </w:p>
    <w:bookmarkEnd w:id="186"/>
    <w:bookmarkStart w:id="187" w:name="assessment-36"/>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87"/>
    <w:bookmarkEnd w:id="188"/>
    <w:bookmarkStart w:id="192" w:name="sec:pxl-pituwa"/>
    <w:p>
      <w:pPr>
        <w:pStyle w:val="berschrift4"/>
      </w:pPr>
      <w:r>
        <w:rPr>
          <w:rStyle w:val="VerbatimChar"/>
        </w:rPr>
        <w:t xml:space="preserve">2.19.</w:t>
      </w:r>
      <w:r>
        <w:t xml:space="preserve"> </w:t>
      </w:r>
      <w:r>
        <w:t xml:space="preserve">Turbid Water</w:t>
      </w:r>
    </w:p>
    <w:p>
      <w:pPr>
        <w:pStyle w:val="FirstParagraph"/>
      </w:pPr>
      <w:r>
        <w:t xml:space="preserve">Identifier:</w:t>
      </w:r>
      <w:r>
        <w:t xml:space="preserve"> </w:t>
      </w:r>
      <w:r>
        <w:rPr>
          <w:rStyle w:val="VerbatimChar"/>
        </w:rPr>
        <w:t xml:space="preserve">pxl-pituwa</w:t>
      </w:r>
    </w:p>
    <w:bookmarkStart w:id="189" w:name="threshold-requirements-37"/>
    <w:p>
      <w:pPr>
        <w:pStyle w:val="berschrift5"/>
      </w:pPr>
      <w:r>
        <w:t xml:space="preserve">Threshold requirements:</w:t>
      </w:r>
    </w:p>
    <w:p>
      <w:pPr>
        <w:pStyle w:val="FirstParagraph"/>
      </w:pPr>
      <w:r>
        <w:t xml:space="preserve">Specification of whether a pixel is assessed as being turbid.</w:t>
      </w:r>
    </w:p>
    <w:p>
      <w:pPr>
        <w:pStyle w:val="Textkrper"/>
      </w:pPr>
      <w:r>
        <w:t xml:space="preserve">Notes:</w:t>
      </w:r>
    </w:p>
    <w:p>
      <w:pPr>
        <w:pStyle w:val="Compact"/>
        <w:numPr>
          <w:ilvl w:val="0"/>
          <w:numId w:val="1060"/>
        </w:numPr>
      </w:pPr>
      <w:r>
        <w:t xml:space="preserve">See</w:t>
      </w:r>
      <w:r>
        <w:t xml:space="preserve"> </w:t>
      </w:r>
      <w:r>
        <w:t xml:space="preserve">Morel and Bélanger (</w:t>
      </w:r>
      <w:hyperlink w:anchor="ref-morel2006">
        <w:r>
          <w:rPr>
            <w:rStyle w:val="Hyperlink"/>
          </w:rPr>
          <w:t xml:space="preserve">2006</w:t>
        </w:r>
      </w:hyperlink>
      <w:r>
        <w:t xml:space="preserve">)</w:t>
      </w:r>
      <w:r>
        <w:t xml:space="preserve">,</w:t>
      </w:r>
      <w:r>
        <w:t xml:space="preserve"> </w:t>
      </w:r>
      <w:r>
        <w:t xml:space="preserve">Morel and Gentili (</w:t>
      </w:r>
      <w:hyperlink w:anchor="ref-morel2008">
        <w:r>
          <w:rPr>
            <w:rStyle w:val="Hyperlink"/>
          </w:rPr>
          <w:t xml:space="preserve">2008</w:t>
        </w:r>
      </w:hyperlink>
      <w:r>
        <w:t xml:space="preserve">)</w:t>
      </w:r>
      <w:r>
        <w:t xml:space="preserve">, and</w:t>
      </w:r>
      <w:r>
        <w:t xml:space="preserve"> </w:t>
      </w:r>
      <w:r>
        <w:t xml:space="preserve">Hooker et al. (</w:t>
      </w:r>
      <w:hyperlink w:anchor="ref-hooker2003">
        <w:r>
          <w:rPr>
            <w:rStyle w:val="Hyperlink"/>
          </w:rPr>
          <w:t xml:space="preserve">2003</w:t>
        </w:r>
      </w:hyperlink>
      <w:r>
        <w:t xml:space="preserve">)</w:t>
      </w:r>
      <w:r>
        <w:t xml:space="preserve">.</w:t>
      </w:r>
    </w:p>
    <w:p>
      <w:pPr>
        <w:pStyle w:val="Compact"/>
        <w:numPr>
          <w:ilvl w:val="0"/>
          <w:numId w:val="1060"/>
        </w:numPr>
      </w:pPr>
      <w:r>
        <w:t xml:space="preserve">References for the corresponding flag algorithms are</w:t>
      </w:r>
      <w:r>
        <w:t xml:space="preserve"> </w:t>
      </w:r>
      <w:r>
        <w:t xml:space="preserve">Hudson et al. (</w:t>
      </w:r>
      <w:hyperlink w:anchor="ref-hudson2016">
        <w:r>
          <w:rPr>
            <w:rStyle w:val="Hyperlink"/>
          </w:rPr>
          <w:t xml:space="preserve">2016</w:t>
        </w:r>
      </w:hyperlink>
      <w:r>
        <w:t xml:space="preserve">)</w:t>
      </w:r>
      <w:r>
        <w:t xml:space="preserve"> </w:t>
      </w:r>
      <w:r>
        <w:t xml:space="preserve">and</w:t>
      </w:r>
      <w:r>
        <w:t xml:space="preserve"> </w:t>
      </w:r>
      <w:r>
        <w:t xml:space="preserve">Shi and Wang (</w:t>
      </w:r>
      <w:hyperlink w:anchor="ref-shi2007">
        <w:r>
          <w:rPr>
            <w:rStyle w:val="Hyperlink"/>
          </w:rPr>
          <w:t xml:space="preserve">2007</w:t>
        </w:r>
      </w:hyperlink>
      <w:r>
        <w:t xml:space="preserve">)</w:t>
      </w:r>
      <w:r>
        <w:t xml:space="preserve">, respectively.</w:t>
      </w:r>
    </w:p>
    <w:bookmarkEnd w:id="189"/>
    <w:bookmarkStart w:id="190" w:name="goal-requirements-37"/>
    <w:p>
      <w:pPr>
        <w:pStyle w:val="berschrift5"/>
      </w:pPr>
      <w:r>
        <w:t xml:space="preserve">Goal requirements:</w:t>
      </w:r>
    </w:p>
    <w:p>
      <w:pPr>
        <w:pStyle w:val="FirstParagraph"/>
      </w:pPr>
      <w:r>
        <w:t xml:space="preserve">As threshold.</w:t>
      </w:r>
      <w:r>
        <w:t xml:space="preserve"> </w:t>
      </w:r>
    </w:p>
    <w:bookmarkEnd w:id="190"/>
    <w:bookmarkStart w:id="191" w:name="assessment-37"/>
    <w:p>
      <w:pPr>
        <w:pStyle w:val="berschrift5"/>
      </w:pPr>
      <w:r>
        <w:t xml:space="preserve">Assessment:</w:t>
      </w:r>
    </w:p>
    <w:p>
      <w:pPr>
        <w:pStyle w:val="Compact"/>
        <w:numPr>
          <w:ilvl w:val="0"/>
          <w:numId w:val="1061"/>
        </w:numPr>
      </w:pPr>
      <w:r>
        <w:t xml:space="preserve">Threshold Self-Assessment:</w:t>
      </w:r>
    </w:p>
    <w:p>
      <w:pPr>
        <w:pStyle w:val="Compact"/>
        <w:numPr>
          <w:ilvl w:val="0"/>
          <w:numId w:val="1061"/>
        </w:numPr>
      </w:pPr>
      <w:r>
        <w:t xml:space="preserve">Goal Self-Assessment:</w:t>
      </w:r>
    </w:p>
    <w:p>
      <w:pPr>
        <w:pStyle w:val="Compact"/>
        <w:numPr>
          <w:ilvl w:val="0"/>
          <w:numId w:val="1061"/>
        </w:numPr>
      </w:pPr>
      <w:r>
        <w:t xml:space="preserve">Self-Assessment Explanation/ Justification:</w:t>
      </w:r>
    </w:p>
    <w:p>
      <w:pPr>
        <w:pStyle w:val="Compact"/>
        <w:numPr>
          <w:ilvl w:val="0"/>
          <w:numId w:val="1061"/>
        </w:numPr>
      </w:pPr>
      <w:r>
        <w:t xml:space="preserve">Recommended Requirement Modification:</w:t>
      </w:r>
    </w:p>
    <w:p>
      <w:r>
        <w:pict>
          <v:rect style="width:0;height:1.5pt" o:hralign="center" o:hrstd="t" o:hr="t"/>
        </w:pict>
      </w:r>
    </w:p>
    <w:bookmarkEnd w:id="191"/>
    <w:bookmarkEnd w:id="192"/>
    <w:bookmarkStart w:id="196" w:name="sec:pxl-piwaele"/>
    <w:p>
      <w:pPr>
        <w:pStyle w:val="berschrift4"/>
      </w:pPr>
      <w:r>
        <w:rPr>
          <w:rStyle w:val="VerbatimChar"/>
        </w:rPr>
        <w:t xml:space="preserve">2.20.</w:t>
      </w:r>
      <w:r>
        <w:t xml:space="preserve"> </w:t>
      </w:r>
      <w:r>
        <w:t xml:space="preserve">Elevation</w:t>
      </w:r>
    </w:p>
    <w:p>
      <w:pPr>
        <w:pStyle w:val="FirstParagraph"/>
      </w:pPr>
      <w:r>
        <w:t xml:space="preserve">Identifier:</w:t>
      </w:r>
      <w:r>
        <w:t xml:space="preserve"> </w:t>
      </w:r>
      <w:r>
        <w:rPr>
          <w:rStyle w:val="VerbatimChar"/>
        </w:rPr>
        <w:t xml:space="preserve">pxl-piwaele</w:t>
      </w:r>
    </w:p>
    <w:bookmarkStart w:id="193" w:name="threshold-requirements-38"/>
    <w:p>
      <w:pPr>
        <w:pStyle w:val="berschrift5"/>
      </w:pPr>
      <w:r>
        <w:t xml:space="preserve">Threshold requirements:</w:t>
      </w:r>
    </w:p>
    <w:p>
      <w:pPr>
        <w:pStyle w:val="FirstParagraph"/>
      </w:pPr>
      <w:r>
        <w:t xml:space="preserve">Specification of approximate elevation (above mean sea level) of the surface of the water body pixels is required for atmospheric correction (range = -430 m to approx. 6500 m)</w:t>
      </w:r>
    </w:p>
    <w:p>
      <w:pPr>
        <w:pStyle w:val="Textkrper"/>
      </w:pPr>
      <w:r>
        <w:t xml:space="preserve">Note:</w:t>
      </w:r>
    </w:p>
    <w:p>
      <w:pPr>
        <w:pStyle w:val="Compact"/>
        <w:numPr>
          <w:ilvl w:val="0"/>
          <w:numId w:val="1062"/>
        </w:numPr>
      </w:pPr>
      <w:r>
        <w:t xml:space="preserve">See</w:t>
      </w:r>
      <w:r>
        <w:t xml:space="preserve"> </w:t>
      </w:r>
      <w:r>
        <w:t xml:space="preserve">Guth et al. (</w:t>
      </w:r>
      <w:hyperlink w:anchor="ref-guth2021">
        <w:r>
          <w:rPr>
            <w:rStyle w:val="Hyperlink"/>
          </w:rPr>
          <w:t xml:space="preserve">2021</w:t>
        </w:r>
      </w:hyperlink>
      <w:r>
        <w:t xml:space="preserve">)</w:t>
      </w:r>
      <w:r>
        <w:t xml:space="preserve">.</w:t>
      </w:r>
    </w:p>
    <w:bookmarkEnd w:id="193"/>
    <w:bookmarkStart w:id="194" w:name="goal-requirements-38"/>
    <w:p>
      <w:pPr>
        <w:pStyle w:val="berschrift5"/>
      </w:pPr>
      <w:r>
        <w:t xml:space="preserve">Goal requirements:</w:t>
      </w:r>
    </w:p>
    <w:p>
      <w:pPr>
        <w:pStyle w:val="FirstParagraph"/>
      </w:pPr>
      <w:r>
        <w:t xml:space="preserve">As threshold.</w:t>
      </w:r>
      <w:r>
        <w:t xml:space="preserve"> </w:t>
      </w:r>
    </w:p>
    <w:bookmarkEnd w:id="194"/>
    <w:bookmarkStart w:id="195" w:name="assessment-38"/>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bookmarkEnd w:id="195"/>
    <w:bookmarkEnd w:id="196"/>
    <w:bookmarkEnd w:id="197"/>
    <w:bookmarkStart w:id="246" w:name="sec:pral"/>
    <w:p>
      <w:pPr>
        <w:pStyle w:val="berschrift3"/>
      </w:pPr>
      <w:r>
        <w:rPr>
          <w:rStyle w:val="VerbatimChar"/>
        </w:rPr>
        <w:t xml:space="preserve">3.</w:t>
      </w:r>
      <w:r>
        <w:t xml:space="preserve"> </w:t>
      </w:r>
      <w:r>
        <w:t xml:space="preserve">Products and Algorithms</w:t>
      </w:r>
    </w:p>
    <w:p>
      <w:pPr>
        <w:pStyle w:val="FirstParagraph"/>
      </w:pPr>
      <w:r>
        <w:t xml:space="preserve">The following requirements must be met for all pixels in a collection. The requirements specify both the necessary outcomes and the minimum steps necessary to be deemed to have achieved those outcomes.</w:t>
      </w:r>
    </w:p>
    <w:p>
      <w:pPr>
        <w:pStyle w:val="Textkrper"/>
      </w:pPr>
      <w:r>
        <w:t xml:space="preserve">Metadata must contain a single DOI landing page with relevant information to support each requirement. For corrections, references to a citable peer-reviewed algorithm or technical documentation regarding the implementation of that algorithm and the sources of ancillary data used to make corrections/provision of parameterisation data are required. Examples of technical documentation include an Algorithm Theoretical Basis Document, product user guide, etc.</w:t>
      </w:r>
    </w:p>
    <w:bookmarkStart w:id="201" w:name="sec:pral-measur-a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pral-measur-ar</w:t>
      </w:r>
    </w:p>
    <w:bookmarkStart w:id="198" w:name="threshold-requirements-39"/>
    <w:p>
      <w:pPr>
        <w:pStyle w:val="berschrift5"/>
      </w:pPr>
      <w:r>
        <w:t xml:space="preserve">Threshold requirements:</w:t>
      </w:r>
    </w:p>
    <w:p>
      <w:pPr>
        <w:pStyle w:val="FirstParagraph"/>
      </w:pPr>
      <w:r>
        <w:t xml:space="preserve">Pixel values that are expressed as a measurement of the Aquatic Reflectance (dimensionless) or the Remote Sensing Reflectance (</w:t>
      </w:r>
      <m:oMath>
        <m:r>
          <m:t>s</m:t>
        </m:r>
        <m:sSup>
          <m:e>
            <m:r>
              <m:t>r</m:t>
            </m:r>
          </m:e>
          <m:sup>
            <m:r>
              <m:rPr>
                <m:sty m:val="p"/>
              </m:rPr>
              <m:t>−</m:t>
            </m:r>
            <m:r>
              <m:t>1</m:t>
            </m:r>
          </m:sup>
        </m:sSup>
      </m:oMath>
      <w:r>
        <w:t xml:space="preserve">) of the water bodies (</w:t>
      </w:r>
      <m:oMath>
        <m:r>
          <m:t>A</m:t>
        </m:r>
        <m:r>
          <m:t>R</m:t>
        </m:r>
        <m:r>
          <m:rPr>
            <m:sty m:val="p"/>
          </m:rPr>
          <m:t>=</m:t>
        </m:r>
        <m:r>
          <m:t>π</m:t>
        </m:r>
        <m:r>
          <m:rPr>
            <m:sty m:val="p"/>
          </m:rPr>
          <m:t>⋅</m:t>
        </m:r>
        <m:sSub>
          <m:e>
            <m:r>
              <m:t>R</m:t>
            </m:r>
          </m:e>
          <m:sub>
            <m:r>
              <m:t>r</m:t>
            </m:r>
            <m:r>
              <m:t>s</m:t>
            </m:r>
          </m:sub>
        </m:sSub>
      </m:oMath>
      <w:r>
        <w:t xml:space="preserve">).</w:t>
      </w:r>
    </w:p>
    <w:p>
      <w:pPr>
        <w:pStyle w:val="Textkrper"/>
      </w:pPr>
      <w:r>
        <w:t xml:space="preserve">Note:</w:t>
      </w:r>
    </w:p>
    <w:p>
      <w:pPr>
        <w:pStyle w:val="Compact"/>
        <w:numPr>
          <w:ilvl w:val="0"/>
          <w:numId w:val="1064"/>
        </w:numPr>
      </w:pPr>
      <w:r>
        <w:t xml:space="preserve">Radiometric corrections must lead to a valid measurement of aquatic reflectance.</w:t>
      </w:r>
    </w:p>
    <w:bookmarkEnd w:id="198"/>
    <w:bookmarkStart w:id="199" w:name="goal-requirements-39"/>
    <w:p>
      <w:pPr>
        <w:pStyle w:val="berschrift5"/>
      </w:pPr>
      <w:r>
        <w:t xml:space="preserve">Goal requirements:</w:t>
      </w:r>
    </w:p>
    <w:p>
      <w:pPr>
        <w:pStyle w:val="FirstParagraph"/>
      </w:pPr>
      <w:r>
        <w:t xml:space="preserve">As threshold.</w:t>
      </w:r>
    </w:p>
    <w:p>
      <w:pPr>
        <w:pStyle w:val="Textkrper"/>
      </w:pPr>
      <w:r>
        <w:t xml:space="preserve">Note:</w:t>
      </w:r>
    </w:p>
    <w:p>
      <w:pPr>
        <w:pStyle w:val="Compact"/>
        <w:numPr>
          <w:ilvl w:val="0"/>
          <w:numId w:val="1065"/>
        </w:numPr>
      </w:pPr>
      <w:r>
        <w:t xml:space="preserve">See also</w:t>
      </w:r>
      <w:r>
        <w:t xml:space="preserve"> </w:t>
      </w:r>
      <w:hyperlink w:anchor="sec:meta-trace-ar">
        <w:r>
          <w:rPr>
            <w:rStyle w:val="Hyperlink"/>
          </w:rPr>
          <w:t xml:space="preserve">General Metadata: Traceability</w:t>
        </w:r>
      </w:hyperlink>
      <w:r>
        <w:t xml:space="preserve"> </w:t>
      </w:r>
      <w:r>
        <w:t xml:space="preserve">and</w:t>
      </w:r>
      <w:r>
        <w:t xml:space="preserve"> </w:t>
      </w:r>
      <w:hyperlink w:anchor="sec:pral-mnormal-ar">
        <w:r>
          <w:rPr>
            <w:rStyle w:val="Hyperlink"/>
          </w:rPr>
          <w:t xml:space="preserve">Products and Algorithms: Measurement Normalisation</w:t>
        </w:r>
      </w:hyperlink>
    </w:p>
    <w:bookmarkEnd w:id="199"/>
    <w:bookmarkStart w:id="200" w:name="assessment-39"/>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200"/>
    <w:bookmarkEnd w:id="201"/>
    <w:bookmarkStart w:id="205" w:name="sec:pral-muncer-a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pral-muncer-ar</w:t>
      </w:r>
    </w:p>
    <w:bookmarkStart w:id="202" w:name="threshold-requirements-40"/>
    <w:p>
      <w:pPr>
        <w:pStyle w:val="berschrift5"/>
      </w:pPr>
      <w:r>
        <w:t xml:space="preserve">Threshold requirements:</w:t>
      </w:r>
    </w:p>
    <w:p>
      <w:pPr>
        <w:pStyle w:val="FirstParagraph"/>
      </w:pPr>
      <w:r>
        <w:t xml:space="preserve">An estimate of the uncertainty of the values is provided in measurement units, following the BIPM Guide to the Expression of Uncertainty in Measurement (GUM).</w:t>
      </w:r>
    </w:p>
    <w:p>
      <w:pPr>
        <w:pStyle w:val="Textkrper"/>
      </w:pPr>
      <w:r>
        <w:t xml:space="preserve">Notes:</w:t>
      </w:r>
    </w:p>
    <w:p>
      <w:pPr>
        <w:pStyle w:val="Compact"/>
        <w:numPr>
          <w:ilvl w:val="0"/>
          <w:numId w:val="1067"/>
        </w:numPr>
      </w:pPr>
      <w:r>
        <w:t xml:space="preserve">In current practice, users determine fitness for purpose based on knowledge of the lineage of the data, rather than on a specific estimate of measurement uncertainty.</w:t>
      </w:r>
    </w:p>
    <w:p>
      <w:pPr>
        <w:pStyle w:val="Compact"/>
        <w:numPr>
          <w:ilvl w:val="0"/>
          <w:numId w:val="1067"/>
        </w:numPr>
      </w:pPr>
      <w:r>
        <w:t xml:space="preserve">See</w:t>
      </w:r>
      <w:r>
        <w:t xml:space="preserve"> </w:t>
      </w:r>
      <w:r>
        <w:t xml:space="preserve">JCGM Working Group 1 (</w:t>
      </w:r>
      <w:hyperlink w:anchor="ref-gum_6_2020">
        <w:r>
          <w:rPr>
            <w:rStyle w:val="Hyperlink"/>
          </w:rPr>
          <w:t xml:space="preserve">2020</w:t>
        </w:r>
      </w:hyperlink>
      <w:r>
        <w:t xml:space="preserve">)</w:t>
      </w:r>
      <w:r>
        <w:t xml:space="preserve"> </w:t>
      </w:r>
      <w:r>
        <w:t xml:space="preserve">and</w:t>
      </w:r>
      <w:r>
        <w:t xml:space="preserve"> </w:t>
      </w:r>
      <w:r>
        <w:t xml:space="preserve">Vabson et al. (</w:t>
      </w:r>
      <w:hyperlink w:anchor="ref-vabson2024">
        <w:r>
          <w:rPr>
            <w:rStyle w:val="Hyperlink"/>
          </w:rPr>
          <w:t xml:space="preserve">2024</w:t>
        </w:r>
      </w:hyperlink>
      <w:r>
        <w:t xml:space="preserve">)</w:t>
      </w:r>
      <w:r>
        <w:t xml:space="preserve">.</w:t>
      </w:r>
    </w:p>
    <w:bookmarkEnd w:id="202"/>
    <w:bookmarkStart w:id="203" w:name="goal-requirements-40"/>
    <w:p>
      <w:pPr>
        <w:pStyle w:val="berschrift5"/>
      </w:pPr>
      <w:r>
        <w:t xml:space="preserve">Goal requirements:</w:t>
      </w:r>
    </w:p>
    <w:p>
      <w:pPr>
        <w:pStyle w:val="FirstParagraph"/>
      </w:pPr>
      <w:r>
        <w:t xml:space="preserve">As threshold.</w:t>
      </w:r>
      <w:r>
        <w:t xml:space="preserve"> </w:t>
      </w:r>
    </w:p>
    <w:bookmarkEnd w:id="203"/>
    <w:bookmarkStart w:id="204" w:name="assessment-40"/>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204"/>
    <w:bookmarkEnd w:id="205"/>
    <w:bookmarkStart w:id="209" w:name="sec:pral-mnormal-a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pral-mnormal-ar</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Measurements are normalised (to nadir) to remove the effect of bidirectional dependence of the upwelling radiance on observation and solar-illumination geometries.</w:t>
      </w:r>
    </w:p>
    <w:bookmarkEnd w:id="207"/>
    <w:bookmarkStart w:id="208" w:name="assessment-41"/>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208"/>
    <w:bookmarkEnd w:id="209"/>
    <w:bookmarkStart w:id="213" w:name="sec:pral-dirats-a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pral-dirats-ar</w:t>
      </w:r>
    </w:p>
    <w:bookmarkStart w:id="210" w:name="threshold-requirements-42"/>
    <w:p>
      <w:pPr>
        <w:pStyle w:val="berschrift5"/>
      </w:pPr>
      <w:r>
        <w:t xml:space="preserve">Threshold requirements:</w:t>
      </w:r>
    </w:p>
    <w:p>
      <w:pPr>
        <w:pStyle w:val="FirstParagraph"/>
      </w:pPr>
      <w:r>
        <w:t xml:space="preserve">Specification of corrections applied for molecular (Rayleigh) scattering and for aerosol scattering and absorption..</w:t>
      </w:r>
    </w:p>
    <w:p>
      <w:pPr>
        <w:pStyle w:val="Textkrper"/>
      </w:pPr>
      <w:r>
        <w:t xml:space="preserve">Note:</w:t>
      </w:r>
    </w:p>
    <w:p>
      <w:pPr>
        <w:pStyle w:val="Compact"/>
        <w:numPr>
          <w:ilvl w:val="0"/>
          <w:numId w:val="1070"/>
        </w:numPr>
      </w:pPr>
      <w:r>
        <w:t xml:space="preserve">See</w:t>
      </w:r>
      <w:r>
        <w:t xml:space="preserve"> </w:t>
      </w:r>
      <w:r>
        <w:t xml:space="preserve">Mobley et al. (</w:t>
      </w:r>
      <w:hyperlink w:anchor="ref-mobley2016">
        <w:r>
          <w:rPr>
            <w:rStyle w:val="Hyperlink"/>
          </w:rPr>
          <w:t xml:space="preserve">2016</w:t>
        </w:r>
      </w:hyperlink>
      <w:r>
        <w:t xml:space="preserve">)</w:t>
      </w:r>
      <w:r>
        <w:t xml:space="preserve">.</w:t>
      </w:r>
    </w:p>
    <w:bookmarkEnd w:id="210"/>
    <w:bookmarkStart w:id="211" w:name="goal-requirements-42"/>
    <w:p>
      <w:pPr>
        <w:pStyle w:val="berschrift5"/>
      </w:pPr>
      <w:r>
        <w:t xml:space="preserve">Goal requirements:</w:t>
      </w:r>
    </w:p>
    <w:p>
      <w:pPr>
        <w:pStyle w:val="FirstParagraph"/>
      </w:pPr>
      <w:r>
        <w:t xml:space="preserve">As threshold.</w:t>
      </w:r>
      <w:r>
        <w:t xml:space="preserve"> </w:t>
      </w:r>
    </w:p>
    <w:bookmarkEnd w:id="211"/>
    <w:bookmarkStart w:id="212" w:name="assessment-42"/>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212"/>
    <w:bookmarkEnd w:id="213"/>
    <w:bookmarkStart w:id="217" w:name="sec:pral-wavap-a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pral-wavap-ar</w:t>
      </w:r>
    </w:p>
    <w:bookmarkStart w:id="214" w:name="threshold-requirements-43"/>
    <w:p>
      <w:pPr>
        <w:pStyle w:val="berschrift5"/>
      </w:pPr>
      <w:r>
        <w:t xml:space="preserve">Threshold requirements:</w:t>
      </w:r>
    </w:p>
    <w:p>
      <w:pPr>
        <w:pStyle w:val="FirstParagraph"/>
      </w:pPr>
      <w:r>
        <w:t xml:space="preserve">Corrections are applied for water vapour if spectral bands are affected.</w:t>
      </w:r>
    </w:p>
    <w:bookmarkEnd w:id="214"/>
    <w:bookmarkStart w:id="215" w:name="goal-requirements-43"/>
    <w:p>
      <w:pPr>
        <w:pStyle w:val="berschrift5"/>
      </w:pPr>
      <w:r>
        <w:t xml:space="preserve">Goal requirements:</w:t>
      </w:r>
    </w:p>
    <w:p>
      <w:pPr>
        <w:pStyle w:val="FirstParagraph"/>
      </w:pPr>
      <w:r>
        <w:t xml:space="preserve">As threshold.</w:t>
      </w:r>
      <w:r>
        <w:t xml:space="preserve"> </w:t>
      </w:r>
    </w:p>
    <w:bookmarkEnd w:id="215"/>
    <w:bookmarkStart w:id="216" w:name="assessment-43"/>
    <w:p>
      <w:pPr>
        <w:pStyle w:val="berschrift5"/>
      </w:pPr>
      <w:r>
        <w:t xml:space="preserve">Assessment:</w:t>
      </w:r>
    </w:p>
    <w:p>
      <w:pPr>
        <w:pStyle w:val="Compact"/>
        <w:numPr>
          <w:ilvl w:val="0"/>
          <w:numId w:val="1072"/>
        </w:numPr>
      </w:pPr>
      <w:r>
        <w:t xml:space="preserve">Threshold Self-Assessment:</w:t>
      </w:r>
    </w:p>
    <w:p>
      <w:pPr>
        <w:pStyle w:val="Compact"/>
        <w:numPr>
          <w:ilvl w:val="0"/>
          <w:numId w:val="1072"/>
        </w:numPr>
      </w:pPr>
      <w:r>
        <w:t xml:space="preserve">Goal Self-Assessment:</w:t>
      </w:r>
    </w:p>
    <w:p>
      <w:pPr>
        <w:pStyle w:val="Compact"/>
        <w:numPr>
          <w:ilvl w:val="0"/>
          <w:numId w:val="1072"/>
        </w:numPr>
      </w:pPr>
      <w:r>
        <w:t xml:space="preserve">Self-Assessment Explanation/ Justification:</w:t>
      </w:r>
    </w:p>
    <w:p>
      <w:pPr>
        <w:pStyle w:val="Compact"/>
        <w:numPr>
          <w:ilvl w:val="0"/>
          <w:numId w:val="1072"/>
        </w:numPr>
      </w:pPr>
      <w:r>
        <w:t xml:space="preserve">Recommended Requirement Modification:</w:t>
      </w:r>
    </w:p>
    <w:p>
      <w:r>
        <w:pict>
          <v:rect style="width:0;height:1.5pt" o:hralign="center" o:hrstd="t" o:hr="t"/>
        </w:pict>
      </w:r>
    </w:p>
    <w:bookmarkEnd w:id="216"/>
    <w:bookmarkEnd w:id="217"/>
    <w:bookmarkStart w:id="221" w:name="sec:pral-cozone"/>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pral-cozone</w:t>
      </w:r>
    </w:p>
    <w:bookmarkStart w:id="218" w:name="threshold-requirements-44"/>
    <w:p>
      <w:pPr>
        <w:pStyle w:val="berschrift5"/>
      </w:pPr>
      <w:r>
        <w:t xml:space="preserve">Threshold requirements:</w:t>
      </w:r>
    </w:p>
    <w:p>
      <w:pPr>
        <w:pStyle w:val="FirstParagraph"/>
      </w:pPr>
      <w:r>
        <w:t xml:space="preserve">Data is corrected for ozone if spectral bands are affected.</w:t>
      </w:r>
    </w:p>
    <w:p>
      <w:pPr>
        <w:pStyle w:val="Textkrper"/>
      </w:pPr>
      <w:r>
        <w:t xml:space="preserve">Notes:</w:t>
      </w:r>
    </w:p>
    <w:p>
      <w:pPr>
        <w:pStyle w:val="Compact"/>
        <w:numPr>
          <w:ilvl w:val="0"/>
          <w:numId w:val="1073"/>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3"/>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w:t>
      </w:r>
      <w:r>
        <w:t xml:space="preserve"> </w:t>
      </w:r>
      <w:r>
        <w:t xml:space="preserve">Pahlevan et al. (</w:t>
      </w:r>
      <w:hyperlink w:anchor="ref-pahlevan2021">
        <w:r>
          <w:rPr>
            <w:rStyle w:val="Hyperlink"/>
          </w:rPr>
          <w:t xml:space="preserve">2021</w:t>
        </w:r>
      </w:hyperlink>
      <w:r>
        <w:t xml:space="preserve">)</w:t>
      </w:r>
      <w:r>
        <w:t xml:space="preserve">, and</w:t>
      </w:r>
      <w:r>
        <w:t xml:space="preserve"> </w:t>
      </w:r>
      <w:r>
        <w:t xml:space="preserve">Vanhellemont (</w:t>
      </w:r>
      <w:hyperlink w:anchor="ref-vanhellemont2019">
        <w:r>
          <w:rPr>
            <w:rStyle w:val="Hyperlink"/>
          </w:rPr>
          <w:t xml:space="preserve">2019</w:t>
        </w:r>
      </w:hyperlink>
      <w:r>
        <w:t xml:space="preserve">)</w:t>
      </w:r>
      <w:r>
        <w:t xml:space="preserve">.</w:t>
      </w:r>
    </w:p>
    <w:bookmarkEnd w:id="218"/>
    <w:bookmarkStart w:id="219" w:name="goal-requirements-44"/>
    <w:p>
      <w:pPr>
        <w:pStyle w:val="berschrift5"/>
      </w:pPr>
      <w:r>
        <w:t xml:space="preserve">Goal requirements:</w:t>
      </w:r>
    </w:p>
    <w:p>
      <w:pPr>
        <w:pStyle w:val="FirstParagraph"/>
      </w:pPr>
      <w:r>
        <w:t xml:space="preserve">As threshold.</w:t>
      </w:r>
      <w:r>
        <w:t xml:space="preserve"> </w:t>
      </w:r>
    </w:p>
    <w:bookmarkEnd w:id="219"/>
    <w:bookmarkStart w:id="220" w:name="assessment-44"/>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p>
      <w:r>
        <w:pict>
          <v:rect style="width:0;height:1.5pt" o:hralign="center" o:hrstd="t" o:hr="t"/>
        </w:pict>
      </w:r>
    </w:p>
    <w:bookmarkEnd w:id="220"/>
    <w:bookmarkEnd w:id="221"/>
    <w:bookmarkStart w:id="225" w:name="sec:pral-ogasab"/>
    <w:p>
      <w:pPr>
        <w:pStyle w:val="berschrift4"/>
      </w:pPr>
      <w:r>
        <w:rPr>
          <w:rStyle w:val="VerbatimChar"/>
        </w:rPr>
        <w:t xml:space="preserve">3.7.</w:t>
      </w:r>
      <w:r>
        <w:t xml:space="preserve"> </w:t>
      </w:r>
      <w:r>
        <w:t xml:space="preserve">Other Gaseous Absorption Corrections</w:t>
      </w:r>
    </w:p>
    <w:p>
      <w:pPr>
        <w:pStyle w:val="FirstParagraph"/>
      </w:pPr>
      <w:r>
        <w:t xml:space="preserve">Identifier:</w:t>
      </w:r>
      <w:r>
        <w:t xml:space="preserve"> </w:t>
      </w:r>
      <w:r>
        <w:rPr>
          <w:rStyle w:val="VerbatimChar"/>
        </w:rPr>
        <w:t xml:space="preserve">pral-ogasab</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Data is corrected for other trace gaseous absorption for affected spectral bands.</w:t>
      </w:r>
    </w:p>
    <w:p>
      <w:pPr>
        <w:pStyle w:val="Textkrper"/>
      </w:pPr>
      <w:r>
        <w:t xml:space="preserve">Notes:</w:t>
      </w:r>
    </w:p>
    <w:p>
      <w:pPr>
        <w:pStyle w:val="Compact"/>
        <w:numPr>
          <w:ilvl w:val="0"/>
          <w:numId w:val="1075"/>
        </w:numPr>
      </w:pPr>
      <w:r>
        <w:t xml:space="preserve">Relevant metadata must be provided in</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Compact"/>
        <w:numPr>
          <w:ilvl w:val="0"/>
          <w:numId w:val="1075"/>
        </w:numPr>
      </w:pPr>
      <w:r>
        <w:t xml:space="preserve">See</w:t>
      </w:r>
      <w:r>
        <w:t xml:space="preserve"> </w:t>
      </w:r>
      <w:r>
        <w:t xml:space="preserve">Keukelaere et al. (</w:t>
      </w:r>
      <w:hyperlink w:anchor="ref-dekeukelaere2018">
        <w:r>
          <w:rPr>
            <w:rStyle w:val="Hyperlink"/>
          </w:rPr>
          <w:t xml:space="preserve">2018</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Mobley et al. (</w:t>
      </w:r>
      <w:hyperlink w:anchor="ref-mobley2016">
        <w:r>
          <w:rPr>
            <w:rStyle w:val="Hyperlink"/>
          </w:rPr>
          <w:t xml:space="preserve">2016</w:t>
        </w:r>
      </w:hyperlink>
      <w:r>
        <w:t xml:space="preserve">)</w:t>
      </w:r>
      <w:r>
        <w:t xml:space="preserve">,</w:t>
      </w:r>
      <w:r>
        <w:t xml:space="preserve"> </w:t>
      </w:r>
      <w:r>
        <w:t xml:space="preserve">Pahlevan et al. (</w:t>
      </w:r>
      <w:hyperlink w:anchor="ref-pahlevan2017">
        <w:r>
          <w:rPr>
            <w:rStyle w:val="Hyperlink"/>
          </w:rPr>
          <w:t xml:space="preserve">2017</w:t>
        </w:r>
      </w:hyperlink>
      <w:r>
        <w:t xml:space="preserve">)</w:t>
      </w:r>
      <w:r>
        <w:t xml:space="preserve">, and</w:t>
      </w:r>
      <w:r>
        <w:t xml:space="preserve"> </w:t>
      </w:r>
      <w:r>
        <w:t xml:space="preserve">Pahlevan et al. (</w:t>
      </w:r>
      <w:hyperlink w:anchor="ref-pahlevan2021">
        <w:r>
          <w:rPr>
            <w:rStyle w:val="Hyperlink"/>
          </w:rPr>
          <w:t xml:space="preserve">2021</w:t>
        </w:r>
      </w:hyperlink>
      <w:r>
        <w:t xml:space="preserve">)</w:t>
      </w:r>
      <w:r>
        <w:t xml:space="preserve">.</w:t>
      </w:r>
    </w:p>
    <w:bookmarkEnd w:id="223"/>
    <w:bookmarkStart w:id="224" w:name="assessment-45"/>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24"/>
    <w:bookmarkEnd w:id="225"/>
    <w:bookmarkStart w:id="229" w:name="sec:pral-cosungli"/>
    <w:p>
      <w:pPr>
        <w:pStyle w:val="berschrift4"/>
      </w:pPr>
      <w:r>
        <w:rPr>
          <w:rStyle w:val="VerbatimChar"/>
        </w:rPr>
        <w:t xml:space="preserve">3.8.</w:t>
      </w:r>
      <w:r>
        <w:t xml:space="preserve"> </w:t>
      </w:r>
      <w:r>
        <w:t xml:space="preserve">Sun Glint Correction</w:t>
      </w:r>
    </w:p>
    <w:p>
      <w:pPr>
        <w:pStyle w:val="FirstParagraph"/>
      </w:pPr>
      <w:r>
        <w:t xml:space="preserve">Identifier:</w:t>
      </w:r>
      <w:r>
        <w:t xml:space="preserve"> </w:t>
      </w:r>
      <w:r>
        <w:rPr>
          <w:rStyle w:val="VerbatimChar"/>
        </w:rPr>
        <w:t xml:space="preserve">pral-cosungli</w:t>
      </w:r>
    </w:p>
    <w:bookmarkStart w:id="226" w:name="threshold-requirements-46"/>
    <w:p>
      <w:pPr>
        <w:pStyle w:val="berschrift5"/>
      </w:pPr>
      <w:r>
        <w:t xml:space="preserve">Threshold requirements:</w:t>
      </w:r>
    </w:p>
    <w:p>
      <w:pPr>
        <w:pStyle w:val="FirstParagraph"/>
      </w:pPr>
      <w:r>
        <w:t xml:space="preserve">Not required.</w:t>
      </w:r>
      <w:r>
        <w:t xml:space="preserve"> </w:t>
      </w:r>
    </w:p>
    <w:bookmarkEnd w:id="226"/>
    <w:bookmarkStart w:id="227" w:name="goal-requirements-46"/>
    <w:p>
      <w:pPr>
        <w:pStyle w:val="berschrift5"/>
      </w:pPr>
      <w:r>
        <w:t xml:space="preserve">Goal requirements:</w:t>
      </w:r>
    </w:p>
    <w:p>
      <w:pPr>
        <w:pStyle w:val="FirstParagraph"/>
      </w:pPr>
      <w:r>
        <w:t xml:space="preserve">Sun glint is removed from the data if a pixel is of correctable (i.e., not radiometrically saturating) sun glint.</w:t>
      </w:r>
    </w:p>
    <w:p>
      <w:pPr>
        <w:pStyle w:val="Textkrper"/>
      </w:pPr>
      <w:r>
        <w:t xml:space="preserve">Notes:</w:t>
      </w:r>
    </w:p>
    <w:p>
      <w:pPr>
        <w:pStyle w:val="Compact"/>
        <w:numPr>
          <w:ilvl w:val="0"/>
          <w:numId w:val="1077"/>
        </w:numPr>
      </w:pPr>
      <w:r>
        <w:t xml:space="preserve">Sun glint removal methods can only partially remove sun glint from a pixel. Over or under correction may occur.</w:t>
      </w:r>
    </w:p>
    <w:p>
      <w:pPr>
        <w:pStyle w:val="Compact"/>
        <w:numPr>
          <w:ilvl w:val="0"/>
          <w:numId w:val="1077"/>
        </w:numPr>
      </w:pPr>
      <w:r>
        <w:t xml:space="preserve">See</w:t>
      </w:r>
      <w:r>
        <w:t xml:space="preserve"> </w:t>
      </w:r>
      <w:hyperlink w:anchor="sec:pxl-pisungli">
        <w:r>
          <w:rPr>
            <w:rStyle w:val="Hyperlink"/>
          </w:rPr>
          <w:t xml:space="preserve">Per-Pixel Metadata: Sun Glint</w:t>
        </w:r>
      </w:hyperlink>
      <w:r>
        <w:t xml:space="preserve">,</w:t>
      </w:r>
      <w:r>
        <w:t xml:space="preserve"> </w:t>
      </w:r>
      <w:r>
        <w:t xml:space="preserve">Botha et al. (</w:t>
      </w:r>
      <w:hyperlink w:anchor="ref-botha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w:t>
      </w:r>
      <w:r>
        <w:t xml:space="preserve"> </w:t>
      </w:r>
      <w:r>
        <w:t xml:space="preserve">Harmel et al. (</w:t>
      </w:r>
      <w:hyperlink w:anchor="ref-harmel2018">
        <w:r>
          <w:rPr>
            <w:rStyle w:val="Hyperlink"/>
          </w:rPr>
          <w:t xml:space="preserve">2018</w:t>
        </w:r>
      </w:hyperlink>
      <w:r>
        <w:t xml:space="preserve">)</w:t>
      </w:r>
      <w:r>
        <w:t xml:space="preserve">,</w:t>
      </w:r>
      <w:r>
        <w:t xml:space="preserve"> </w:t>
      </w:r>
      <w:r>
        <w:t xml:space="preserve">Kay et al. (</w:t>
      </w:r>
      <w:hyperlink w:anchor="ref-kay2009">
        <w:r>
          <w:rPr>
            <w:rStyle w:val="Hyperlink"/>
          </w:rPr>
          <w:t xml:space="preserve">2009</w:t>
        </w:r>
      </w:hyperlink>
      <w:r>
        <w:t xml:space="preserve">)</w:t>
      </w:r>
      <w:r>
        <w:t xml:space="preserve">,</w:t>
      </w:r>
      <w:r>
        <w:t xml:space="preserve"> </w:t>
      </w:r>
      <w:r>
        <w:t xml:space="preserve">Kutser et al. (</w:t>
      </w:r>
      <w:hyperlink w:anchor="ref-kutser2009">
        <w:r>
          <w:rPr>
            <w:rStyle w:val="Hyperlink"/>
          </w:rPr>
          <w:t xml:space="preserve">2009</w:t>
        </w:r>
      </w:hyperlink>
      <w:r>
        <w:t xml:space="preserve">)</w:t>
      </w:r>
      <w:r>
        <w:t xml:space="preserve">, and</w:t>
      </w:r>
      <w:r>
        <w:t xml:space="preserve"> </w:t>
      </w:r>
      <w:r>
        <w:t xml:space="preserve">Lavender and Kay (</w:t>
      </w:r>
      <w:hyperlink w:anchor="ref-lavender2010glint">
        <w:r>
          <w:rPr>
            <w:rStyle w:val="Hyperlink"/>
          </w:rPr>
          <w:t xml:space="preserve">2010</w:t>
        </w:r>
      </w:hyperlink>
      <w:r>
        <w:t xml:space="preserve">)</w:t>
      </w:r>
      <w:r>
        <w:t xml:space="preserve">.</w:t>
      </w:r>
    </w:p>
    <w:bookmarkEnd w:id="227"/>
    <w:bookmarkStart w:id="228" w:name="assessment-46"/>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28"/>
    <w:bookmarkEnd w:id="229"/>
    <w:bookmarkStart w:id="233" w:name="sec:pral-coskygli"/>
    <w:p>
      <w:pPr>
        <w:pStyle w:val="berschrift4"/>
      </w:pPr>
      <w:r>
        <w:rPr>
          <w:rStyle w:val="VerbatimChar"/>
        </w:rPr>
        <w:t xml:space="preserve">3.9.</w:t>
      </w:r>
      <w:r>
        <w:t xml:space="preserve"> </w:t>
      </w:r>
      <w:r>
        <w:t xml:space="preserve">Sky Glint Correction</w:t>
      </w:r>
    </w:p>
    <w:p>
      <w:pPr>
        <w:pStyle w:val="FirstParagraph"/>
      </w:pPr>
      <w:r>
        <w:t xml:space="preserve">Identifier:</w:t>
      </w:r>
      <w:r>
        <w:t xml:space="preserve"> </w:t>
      </w:r>
      <w:r>
        <w:rPr>
          <w:rStyle w:val="VerbatimChar"/>
        </w:rPr>
        <w:t xml:space="preserve">pral-coskygli</w:t>
      </w:r>
    </w:p>
    <w:bookmarkStart w:id="230" w:name="threshold-requirements-47"/>
    <w:p>
      <w:pPr>
        <w:pStyle w:val="berschrift5"/>
      </w:pPr>
      <w:r>
        <w:t xml:space="preserve">Threshold requirements:</w:t>
      </w:r>
    </w:p>
    <w:p>
      <w:pPr>
        <w:pStyle w:val="FirstParagraph"/>
      </w:pPr>
      <w:r>
        <w:t xml:space="preserve">Specification of whether or not sky glint is implicitly corrected for in the atmospheric correction procedure</w:t>
      </w:r>
    </w:p>
    <w:p>
      <w:pPr>
        <w:pStyle w:val="Textkrper"/>
      </w:pPr>
      <w:r>
        <w:t xml:space="preserve">Notes:</w:t>
      </w:r>
    </w:p>
    <w:p>
      <w:pPr>
        <w:pStyle w:val="Compact"/>
        <w:numPr>
          <w:ilvl w:val="0"/>
          <w:numId w:val="1079"/>
        </w:numPr>
      </w:pPr>
      <w:r>
        <w:t xml:space="preserve">Sky glint is often modelled in forward models explicitly. It is also often measured with above surface spectroradiometers. However, sky glint is seldom corrected for separately in atmospheric and air-water interface correction methods.</w:t>
      </w:r>
    </w:p>
    <w:p>
      <w:pPr>
        <w:pStyle w:val="Compact"/>
        <w:numPr>
          <w:ilvl w:val="0"/>
          <w:numId w:val="1079"/>
        </w:numPr>
      </w:pPr>
      <w:r>
        <w:t xml:space="preserve">See</w:t>
      </w:r>
      <w:r>
        <w:t xml:space="preserve"> </w:t>
      </w:r>
      <w:hyperlink w:anchor="sec:pxl-piskygli">
        <w:r>
          <w:rPr>
            <w:rStyle w:val="Hyperlink"/>
          </w:rPr>
          <w:t xml:space="preserve">Per-Pixel Metadata: Sky Glint</w:t>
        </w:r>
      </w:hyperlink>
      <w:r>
        <w:t xml:space="preserve">,</w:t>
      </w:r>
      <w:r>
        <w:t xml:space="preserve"> </w:t>
      </w:r>
      <w:r>
        <w:t xml:space="preserve">Gege and Groetsch (</w:t>
      </w:r>
      <w:hyperlink w:anchor="ref-gege2016">
        <w:r>
          <w:rPr>
            <w:rStyle w:val="Hyperlink"/>
          </w:rPr>
          <w:t xml:space="preserve">2016</w:t>
        </w:r>
      </w:hyperlink>
      <w:r>
        <w:t xml:space="preserve">)</w:t>
      </w:r>
      <w:r>
        <w:t xml:space="preserve">,</w:t>
      </w:r>
      <w:r>
        <w:t xml:space="preserve"> </w:t>
      </w:r>
      <w:r>
        <w:t xml:space="preserve">Groetsch et al. (</w:t>
      </w:r>
      <w:hyperlink w:anchor="ref-groetsch2020">
        <w:r>
          <w:rPr>
            <w:rStyle w:val="Hyperlink"/>
          </w:rPr>
          <w:t xml:space="preserve">2020</w:t>
        </w:r>
      </w:hyperlink>
      <w:r>
        <w:t xml:space="preserve">)</w:t>
      </w:r>
      <w:r>
        <w:t xml:space="preserve">, and</w:t>
      </w:r>
      <w:r>
        <w:t xml:space="preserve"> </w:t>
      </w:r>
      <w:r>
        <w:t xml:space="preserve">Zhang et al. (</w:t>
      </w:r>
      <w:hyperlink w:anchor="ref-zhang2017">
        <w:r>
          <w:rPr>
            <w:rStyle w:val="Hyperlink"/>
          </w:rPr>
          <w:t xml:space="preserve">2017</w:t>
        </w:r>
      </w:hyperlink>
      <w:r>
        <w:t xml:space="preserve">)</w:t>
      </w:r>
      <w:r>
        <w:t xml:space="preserve">.</w:t>
      </w:r>
    </w:p>
    <w:bookmarkEnd w:id="230"/>
    <w:bookmarkStart w:id="231" w:name="goal-requirements-47"/>
    <w:p>
      <w:pPr>
        <w:pStyle w:val="berschrift5"/>
      </w:pPr>
      <w:r>
        <w:t xml:space="preserve">Goal requirements:</w:t>
      </w:r>
    </w:p>
    <w:p>
      <w:pPr>
        <w:pStyle w:val="FirstParagraph"/>
      </w:pPr>
      <w:r>
        <w:t xml:space="preserve">Sky glint is separately assessed and corrected for in the data processing. The metadata indicates the surface contributions from sky glint removed from the data.</w:t>
      </w:r>
    </w:p>
    <w:bookmarkEnd w:id="231"/>
    <w:bookmarkStart w:id="232" w:name="assessment-47"/>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32"/>
    <w:bookmarkEnd w:id="233"/>
    <w:bookmarkStart w:id="237" w:name="sec:pral-cowhifo"/>
    <w:p>
      <w:pPr>
        <w:pStyle w:val="berschrift4"/>
      </w:pPr>
      <w:r>
        <w:rPr>
          <w:rStyle w:val="VerbatimChar"/>
        </w:rPr>
        <w:t xml:space="preserve">3.10.</w:t>
      </w:r>
      <w:r>
        <w:t xml:space="preserve"> </w:t>
      </w:r>
      <w:r>
        <w:t xml:space="preserve">Whitecap / Foam Correction</w:t>
      </w:r>
    </w:p>
    <w:p>
      <w:pPr>
        <w:pStyle w:val="FirstParagraph"/>
      </w:pPr>
      <w:r>
        <w:t xml:space="preserve">Identifier:</w:t>
      </w:r>
      <w:r>
        <w:t xml:space="preserve"> </w:t>
      </w:r>
      <w:r>
        <w:rPr>
          <w:rStyle w:val="VerbatimChar"/>
        </w:rPr>
        <w:t xml:space="preserve">pral-cowhifo</w:t>
      </w:r>
    </w:p>
    <w:bookmarkStart w:id="234" w:name="threshold-requirements-48"/>
    <w:p>
      <w:pPr>
        <w:pStyle w:val="berschrift5"/>
      </w:pPr>
      <w:r>
        <w:t xml:space="preserve">Threshold requirements:</w:t>
      </w:r>
    </w:p>
    <w:p>
      <w:pPr>
        <w:pStyle w:val="FirstParagraph"/>
      </w:pPr>
      <w:r>
        <w:t xml:space="preserve">Specification of whether the water leaving reflectance or radiance is corrected for the contribution from surface whitecaps and foam.</w:t>
      </w:r>
    </w:p>
    <w:p>
      <w:pPr>
        <w:pStyle w:val="Textkrper"/>
      </w:pPr>
      <w:r>
        <w:t xml:space="preserve">Note:</w:t>
      </w:r>
    </w:p>
    <w:p>
      <w:pPr>
        <w:pStyle w:val="Compact"/>
        <w:numPr>
          <w:ilvl w:val="0"/>
          <w:numId w:val="1081"/>
        </w:numPr>
      </w:pPr>
      <w:r>
        <w:t xml:space="preserve">See</w:t>
      </w:r>
      <w:r>
        <w:t xml:space="preserve"> </w:t>
      </w:r>
      <w:r>
        <w:t xml:space="preserve">Dierssen (</w:t>
      </w:r>
      <w:hyperlink w:anchor="ref-dierssen2019">
        <w:r>
          <w:rPr>
            <w:rStyle w:val="Hyperlink"/>
          </w:rPr>
          <w:t xml:space="preserve">2019</w:t>
        </w:r>
      </w:hyperlink>
      <w:r>
        <w:t xml:space="preserve">)</w:t>
      </w:r>
      <w:r>
        <w:t xml:space="preserve">,</w:t>
      </w:r>
      <w:r>
        <w:t xml:space="preserve"> </w:t>
      </w:r>
      <w:r>
        <w:t xml:space="preserve">Dierssen (</w:t>
      </w:r>
      <w:hyperlink w:anchor="ref-dierssen2021">
        <w:r>
          <w:rPr>
            <w:rStyle w:val="Hyperlink"/>
          </w:rPr>
          <w:t xml:space="preserve">2021</w:t>
        </w:r>
      </w:hyperlink>
      <w:r>
        <w:t xml:space="preserve">)</w:t>
      </w:r>
      <w:r>
        <w:t xml:space="preserve">,</w:t>
      </w:r>
      <w:r>
        <w:t xml:space="preserve"> </w:t>
      </w:r>
      <w:r>
        <w:t xml:space="preserve">Frouin et al. (</w:t>
      </w:r>
      <w:hyperlink w:anchor="ref-frouin2019">
        <w:r>
          <w:rPr>
            <w:rStyle w:val="Hyperlink"/>
          </w:rPr>
          <w:t xml:space="preserve">2019</w:t>
        </w:r>
      </w:hyperlink>
      <w:r>
        <w:t xml:space="preserve">)</w:t>
      </w:r>
      <w:r>
        <w:t xml:space="preserve">,</w:t>
      </w:r>
      <w:r>
        <w:t xml:space="preserve"> </w:t>
      </w:r>
      <w:r>
        <w:t xml:space="preserve">Koepke (</w:t>
      </w:r>
      <w:hyperlink w:anchor="ref-koepke1984">
        <w:r>
          <w:rPr>
            <w:rStyle w:val="Hyperlink"/>
          </w:rPr>
          <w:t xml:space="preserve">1984</w:t>
        </w:r>
      </w:hyperlink>
      <w:r>
        <w:t xml:space="preserve">)</w:t>
      </w:r>
      <w:r>
        <w:t xml:space="preserve">,</w:t>
      </w:r>
      <w:r>
        <w:t xml:space="preserve"> </w:t>
      </w:r>
      <w:r>
        <w:t xml:space="preserve">Moore et al. (</w:t>
      </w:r>
      <w:hyperlink w:anchor="ref-moore2000">
        <w:r>
          <w:rPr>
            <w:rStyle w:val="Hyperlink"/>
          </w:rPr>
          <w:t xml:space="preserve">2000</w:t>
        </w:r>
      </w:hyperlink>
      <w:r>
        <w:t xml:space="preserve">)</w:t>
      </w:r>
      <w:r>
        <w:t xml:space="preserve">,</w:t>
      </w:r>
      <w:r>
        <w:t xml:space="preserve"> </w:t>
      </w:r>
      <w:r>
        <w:t xml:space="preserve">Wang et al. (</w:t>
      </w:r>
      <w:hyperlink w:anchor="ref-wang2017">
        <w:r>
          <w:rPr>
            <w:rStyle w:val="Hyperlink"/>
          </w:rPr>
          <w:t xml:space="preserve">2017</w:t>
        </w:r>
      </w:hyperlink>
      <w:r>
        <w:t xml:space="preserve">)</w:t>
      </w:r>
      <w:r>
        <w:t xml:space="preserve">,</w:t>
      </w:r>
      <w:r>
        <w:t xml:space="preserve"> </w:t>
      </w:r>
      <w:r>
        <w:t xml:space="preserve">EUMETSAT (</w:t>
      </w:r>
      <w:hyperlink w:anchor="ref-eumetsat2021">
        <w:r>
          <w:rPr>
            <w:rStyle w:val="Hyperlink"/>
          </w:rPr>
          <w:t xml:space="preserve">2021</w:t>
        </w:r>
      </w:hyperlink>
      <w:r>
        <w:t xml:space="preserve">)</w:t>
      </w:r>
      <w:r>
        <w:t xml:space="preserve">, and</w:t>
      </w:r>
      <w:r>
        <w:t xml:space="preserve"> </w:t>
      </w:r>
      <w:r>
        <w:t xml:space="preserve">Lavender (</w:t>
      </w:r>
      <w:hyperlink w:anchor="ref-lavender2010whitecaps">
        <w:r>
          <w:rPr>
            <w:rStyle w:val="Hyperlink"/>
          </w:rPr>
          <w:t xml:space="preserve">2010</w:t>
        </w:r>
      </w:hyperlink>
      <w:r>
        <w:t xml:space="preserve">)</w:t>
      </w:r>
      <w:r>
        <w:t xml:space="preserve">.</w:t>
      </w:r>
    </w:p>
    <w:bookmarkEnd w:id="234"/>
    <w:bookmarkStart w:id="235" w:name="goal-requirements-48"/>
    <w:p>
      <w:pPr>
        <w:pStyle w:val="berschrift5"/>
      </w:pPr>
      <w:r>
        <w:t xml:space="preserve">Goal requirements:</w:t>
      </w:r>
    </w:p>
    <w:p>
      <w:pPr>
        <w:pStyle w:val="FirstParagraph"/>
      </w:pPr>
      <w:r>
        <w:t xml:space="preserve">The data are corrected for the contribution from surface whitecaps and foam and reported on a per-pixel basis.</w:t>
      </w:r>
    </w:p>
    <w:p>
      <w:pPr>
        <w:pStyle w:val="Textkrper"/>
      </w:pPr>
      <w:r>
        <w:t xml:space="preserve">Note:</w:t>
      </w:r>
    </w:p>
    <w:p>
      <w:pPr>
        <w:pStyle w:val="Compact"/>
        <w:numPr>
          <w:ilvl w:val="0"/>
          <w:numId w:val="1082"/>
        </w:numPr>
      </w:pPr>
      <w:r>
        <w:t xml:space="preserve">See</w:t>
      </w:r>
      <w:r>
        <w:t xml:space="preserve"> </w:t>
      </w:r>
      <w:hyperlink w:anchor="sec:pxl-piwhifo">
        <w:r>
          <w:rPr>
            <w:rStyle w:val="Hyperlink"/>
          </w:rPr>
          <w:t xml:space="preserve">Per-Pixel Metadata: Whitecap / Foam</w:t>
        </w:r>
      </w:hyperlink>
      <w:r>
        <w:t xml:space="preserve">.</w:t>
      </w:r>
    </w:p>
    <w:bookmarkEnd w:id="235"/>
    <w:bookmarkStart w:id="236" w:name="assessment-48"/>
    <w:p>
      <w:pPr>
        <w:pStyle w:val="berschrift5"/>
      </w:pPr>
      <w:r>
        <w:t xml:space="preserve">Assessment:</w:t>
      </w:r>
    </w:p>
    <w:p>
      <w:pPr>
        <w:pStyle w:val="Compact"/>
        <w:numPr>
          <w:ilvl w:val="0"/>
          <w:numId w:val="1083"/>
        </w:numPr>
      </w:pPr>
      <w:r>
        <w:t xml:space="preserve">Threshold Self-Assessment:</w:t>
      </w:r>
    </w:p>
    <w:p>
      <w:pPr>
        <w:pStyle w:val="Compact"/>
        <w:numPr>
          <w:ilvl w:val="0"/>
          <w:numId w:val="1083"/>
        </w:numPr>
      </w:pPr>
      <w:r>
        <w:t xml:space="preserve">Goal Self-Assessment:</w:t>
      </w:r>
    </w:p>
    <w:p>
      <w:pPr>
        <w:pStyle w:val="Compact"/>
        <w:numPr>
          <w:ilvl w:val="0"/>
          <w:numId w:val="1083"/>
        </w:numPr>
      </w:pPr>
      <w:r>
        <w:t xml:space="preserve">Self-Assessment Explanation/ Justification:</w:t>
      </w:r>
    </w:p>
    <w:p>
      <w:pPr>
        <w:pStyle w:val="Compact"/>
        <w:numPr>
          <w:ilvl w:val="0"/>
          <w:numId w:val="1083"/>
        </w:numPr>
      </w:pPr>
      <w:r>
        <w:t xml:space="preserve">Recommended Requirement Modification:</w:t>
      </w:r>
    </w:p>
    <w:p>
      <w:r>
        <w:pict>
          <v:rect style="width:0;height:1.5pt" o:hralign="center" o:hrstd="t" o:hr="t"/>
        </w:pict>
      </w:r>
    </w:p>
    <w:bookmarkEnd w:id="236"/>
    <w:bookmarkEnd w:id="237"/>
    <w:bookmarkStart w:id="241" w:name="sec:pral-cajdeff"/>
    <w:p>
      <w:pPr>
        <w:pStyle w:val="berschrift4"/>
      </w:pPr>
      <w:r>
        <w:rPr>
          <w:rStyle w:val="VerbatimChar"/>
        </w:rPr>
        <w:t xml:space="preserve">3.11.</w:t>
      </w:r>
      <w:r>
        <w:t xml:space="preserve"> </w:t>
      </w:r>
      <w:r>
        <w:t xml:space="preserve">Adjacency Effects Correction</w:t>
      </w:r>
    </w:p>
    <w:p>
      <w:pPr>
        <w:pStyle w:val="FirstParagraph"/>
      </w:pPr>
      <w:r>
        <w:t xml:space="preserve">Identifier:</w:t>
      </w:r>
      <w:r>
        <w:t xml:space="preserve"> </w:t>
      </w:r>
      <w:r>
        <w:rPr>
          <w:rStyle w:val="VerbatimChar"/>
        </w:rPr>
        <w:t xml:space="preserve">pral-cajdeff</w:t>
      </w:r>
    </w:p>
    <w:bookmarkStart w:id="238" w:name="threshold-requirements-49"/>
    <w:p>
      <w:pPr>
        <w:pStyle w:val="berschrift5"/>
      </w:pPr>
      <w:r>
        <w:t xml:space="preserve">Threshold requirements:</w:t>
      </w:r>
    </w:p>
    <w:p>
      <w:pPr>
        <w:pStyle w:val="FirstParagraph"/>
      </w:pPr>
      <w:r>
        <w:t xml:space="preserve">Not required.</w:t>
      </w:r>
      <w:r>
        <w:t xml:space="preserve"> </w:t>
      </w:r>
    </w:p>
    <w:bookmarkEnd w:id="238"/>
    <w:bookmarkStart w:id="239" w:name="goal-requirements-49"/>
    <w:p>
      <w:pPr>
        <w:pStyle w:val="berschrift5"/>
      </w:pPr>
      <w:r>
        <w:t xml:space="preserve">Goal requirements:</w:t>
      </w:r>
    </w:p>
    <w:p>
      <w:pPr>
        <w:pStyle w:val="FirstParagraph"/>
      </w:pPr>
      <w:r>
        <w:t xml:space="preserve">The data are corrected for adjacency effects.</w:t>
      </w:r>
    </w:p>
    <w:p>
      <w:pPr>
        <w:pStyle w:val="Textkrper"/>
      </w:pPr>
      <w:r>
        <w:t xml:space="preserve">Note:</w:t>
      </w:r>
    </w:p>
    <w:p>
      <w:pPr>
        <w:pStyle w:val="Compact"/>
        <w:numPr>
          <w:ilvl w:val="0"/>
          <w:numId w:val="1084"/>
        </w:numPr>
      </w:pPr>
      <w:r>
        <w:t xml:space="preserve">See</w:t>
      </w:r>
      <w:r>
        <w:t xml:space="preserve"> </w:t>
      </w:r>
      <w:r>
        <w:t xml:space="preserve">Castagna and Vanhellemont (</w:t>
      </w:r>
      <w:hyperlink w:anchor="ref-castagna2025">
        <w:r>
          <w:rPr>
            <w:rStyle w:val="Hyperlink"/>
          </w:rPr>
          <w:t xml:space="preserve">2025</w:t>
        </w:r>
      </w:hyperlink>
      <w:r>
        <w:t xml:space="preserve">)</w:t>
      </w:r>
      <w:r>
        <w:t xml:space="preserve">,</w:t>
      </w:r>
      <w:r>
        <w:t xml:space="preserve"> </w:t>
      </w:r>
      <w:r>
        <w:t xml:space="preserve">Kiselev et al. (</w:t>
      </w:r>
      <w:hyperlink w:anchor="ref-kiselev2015">
        <w:r>
          <w:rPr>
            <w:rStyle w:val="Hyperlink"/>
          </w:rPr>
          <w:t xml:space="preserve">2015</w:t>
        </w:r>
      </w:hyperlink>
      <w:r>
        <w:t xml:space="preserve">)</w:t>
      </w:r>
      <w:r>
        <w:t xml:space="preserve">,</w:t>
      </w:r>
      <w:r>
        <w:t xml:space="preserve"> </w:t>
      </w:r>
      <w:r>
        <w:t xml:space="preserve">Pan and Bélanger (</w:t>
      </w:r>
      <w:hyperlink w:anchor="ref-pan2025">
        <w:r>
          <w:rPr>
            <w:rStyle w:val="Hyperlink"/>
          </w:rPr>
          <w:t xml:space="preserve">2025</w:t>
        </w:r>
      </w:hyperlink>
      <w:r>
        <w:t xml:space="preserve">)</w:t>
      </w:r>
      <w:r>
        <w:t xml:space="preserve">,</w:t>
      </w:r>
      <w:r>
        <w:t xml:space="preserve"> </w:t>
      </w:r>
      <w:r>
        <w:t xml:space="preserve">Sterckx et al. (</w:t>
      </w:r>
      <w:hyperlink w:anchor="ref-sterckx2015">
        <w:r>
          <w:rPr>
            <w:rStyle w:val="Hyperlink"/>
          </w:rPr>
          <w:t xml:space="preserve">2015</w:t>
        </w:r>
      </w:hyperlink>
      <w:r>
        <w:t xml:space="preserve">)</w:t>
      </w:r>
      <w:r>
        <w:t xml:space="preserve">, and</w:t>
      </w:r>
      <w:r>
        <w:t xml:space="preserve"> </w:t>
      </w:r>
      <w:r>
        <w:t xml:space="preserve">Wu et al. (</w:t>
      </w:r>
      <w:hyperlink w:anchor="ref-wu2024">
        <w:r>
          <w:rPr>
            <w:rStyle w:val="Hyperlink"/>
          </w:rPr>
          <w:t xml:space="preserve">2024</w:t>
        </w:r>
      </w:hyperlink>
      <w:r>
        <w:t xml:space="preserve">)</w:t>
      </w:r>
      <w:r>
        <w:t xml:space="preserve">.</w:t>
      </w:r>
    </w:p>
    <w:bookmarkEnd w:id="239"/>
    <w:bookmarkStart w:id="240" w:name="assessment-49"/>
    <w:p>
      <w:pPr>
        <w:pStyle w:val="berschrift5"/>
      </w:pPr>
      <w:r>
        <w:t xml:space="preserve">Assessment:</w:t>
      </w:r>
    </w:p>
    <w:p>
      <w:pPr>
        <w:pStyle w:val="Compact"/>
        <w:numPr>
          <w:ilvl w:val="0"/>
          <w:numId w:val="1085"/>
        </w:numPr>
      </w:pPr>
      <w:r>
        <w:t xml:space="preserve">Threshold Self-Assessment:</w:t>
      </w:r>
    </w:p>
    <w:p>
      <w:pPr>
        <w:pStyle w:val="Compact"/>
        <w:numPr>
          <w:ilvl w:val="0"/>
          <w:numId w:val="1085"/>
        </w:numPr>
      </w:pPr>
      <w:r>
        <w:t xml:space="preserve">Goal Self-Assessment:</w:t>
      </w:r>
    </w:p>
    <w:p>
      <w:pPr>
        <w:pStyle w:val="Compact"/>
        <w:numPr>
          <w:ilvl w:val="0"/>
          <w:numId w:val="1085"/>
        </w:numPr>
      </w:pPr>
      <w:r>
        <w:t xml:space="preserve">Self-Assessment Explanation/ Justification:</w:t>
      </w:r>
    </w:p>
    <w:p>
      <w:pPr>
        <w:pStyle w:val="Compact"/>
        <w:numPr>
          <w:ilvl w:val="0"/>
          <w:numId w:val="1085"/>
        </w:numPr>
      </w:pPr>
      <w:r>
        <w:t xml:space="preserve">Recommended Requirement Modification:</w:t>
      </w:r>
    </w:p>
    <w:p>
      <w:r>
        <w:pict>
          <v:rect style="width:0;height:1.5pt" o:hralign="center" o:hrstd="t" o:hr="t"/>
        </w:pict>
      </w:r>
    </w:p>
    <w:bookmarkEnd w:id="240"/>
    <w:bookmarkEnd w:id="241"/>
    <w:bookmarkStart w:id="245" w:name="sec:pral-cotuwa"/>
    <w:p>
      <w:pPr>
        <w:pStyle w:val="berschrift4"/>
      </w:pPr>
      <w:r>
        <w:rPr>
          <w:rStyle w:val="VerbatimChar"/>
        </w:rPr>
        <w:t xml:space="preserve">3.12.</w:t>
      </w:r>
      <w:r>
        <w:t xml:space="preserve"> </w:t>
      </w:r>
      <w:r>
        <w:t xml:space="preserve">Turbid Water Reflectance Correction</w:t>
      </w:r>
    </w:p>
    <w:p>
      <w:pPr>
        <w:pStyle w:val="FirstParagraph"/>
      </w:pPr>
      <w:r>
        <w:t xml:space="preserve">Identifier:</w:t>
      </w:r>
      <w:r>
        <w:t xml:space="preserve"> </w:t>
      </w:r>
      <w:r>
        <w:rPr>
          <w:rStyle w:val="VerbatimChar"/>
        </w:rPr>
        <w:t xml:space="preserve">pral-cotuwa</w:t>
      </w:r>
    </w:p>
    <w:bookmarkStart w:id="242" w:name="threshold-requirements-50"/>
    <w:p>
      <w:pPr>
        <w:pStyle w:val="berschrift5"/>
      </w:pPr>
      <w:r>
        <w:t xml:space="preserve">Threshold requirements:</w:t>
      </w:r>
    </w:p>
    <w:p>
      <w:pPr>
        <w:pStyle w:val="FirstParagraph"/>
      </w:pPr>
      <w:r>
        <w:t xml:space="preserve">Specification of whether the atmospheric correction accounted for a pixel being turbid or not.</w:t>
      </w:r>
    </w:p>
    <w:p>
      <w:pPr>
        <w:pStyle w:val="Textkrper"/>
      </w:pPr>
      <w:r>
        <w:t xml:space="preserve">Note:</w:t>
      </w:r>
    </w:p>
    <w:p>
      <w:pPr>
        <w:pStyle w:val="Compact"/>
        <w:numPr>
          <w:ilvl w:val="0"/>
          <w:numId w:val="1086"/>
        </w:numPr>
      </w:pPr>
      <w:r>
        <w:t xml:space="preserve">See</w:t>
      </w:r>
      <w:r>
        <w:t xml:space="preserve"> </w:t>
      </w:r>
      <w:r>
        <w:t xml:space="preserve">Gossn et al. (</w:t>
      </w:r>
      <w:hyperlink w:anchor="ref-gossn2019">
        <w:r>
          <w:rPr>
            <w:rStyle w:val="Hyperlink"/>
          </w:rPr>
          <w:t xml:space="preserve">2019</w:t>
        </w:r>
      </w:hyperlink>
      <w:r>
        <w:t xml:space="preserve">)</w:t>
      </w:r>
      <w:r>
        <w:t xml:space="preserve">,</w:t>
      </w:r>
      <w:r>
        <w:t xml:space="preserve"> </w:t>
      </w:r>
      <w:r>
        <w:t xml:space="preserve">Moore et al. (</w:t>
      </w:r>
      <w:hyperlink w:anchor="ref-moore1999">
        <w:r>
          <w:rPr>
            <w:rStyle w:val="Hyperlink"/>
          </w:rPr>
          <w:t xml:space="preserve">1999</w:t>
        </w:r>
      </w:hyperlink>
      <w:r>
        <w:t xml:space="preserve">)</w:t>
      </w:r>
      <w:r>
        <w:t xml:space="preserve">, and</w:t>
      </w:r>
      <w:r>
        <w:t xml:space="preserve"> </w:t>
      </w:r>
      <w:r>
        <w:t xml:space="preserve">Stumpf et al. (</w:t>
      </w:r>
      <w:hyperlink w:anchor="ref-stumpf2003">
        <w:r>
          <w:rPr>
            <w:rStyle w:val="Hyperlink"/>
          </w:rPr>
          <w:t xml:space="preserve">2003</w:t>
        </w:r>
      </w:hyperlink>
      <w:r>
        <w:t xml:space="preserve">)</w:t>
      </w:r>
      <w:r>
        <w:t xml:space="preserve">.</w:t>
      </w:r>
    </w:p>
    <w:bookmarkEnd w:id="242"/>
    <w:bookmarkStart w:id="243" w:name="goal-requirements-50"/>
    <w:p>
      <w:pPr>
        <w:pStyle w:val="berschrift5"/>
      </w:pPr>
      <w:r>
        <w:t xml:space="preserve">Goal requirements:</w:t>
      </w:r>
    </w:p>
    <w:p>
      <w:pPr>
        <w:pStyle w:val="FirstParagraph"/>
      </w:pPr>
      <w:r>
        <w:t xml:space="preserve">As threshold.</w:t>
      </w:r>
      <w:r>
        <w:t xml:space="preserve"> </w:t>
      </w:r>
    </w:p>
    <w:bookmarkEnd w:id="243"/>
    <w:bookmarkStart w:id="244" w:name="assessment-50"/>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bookmarkEnd w:id="244"/>
    <w:bookmarkEnd w:id="245"/>
    <w:bookmarkEnd w:id="246"/>
    <w:bookmarkStart w:id="255" w:name="sec:gcom"/>
    <w:p>
      <w:pPr>
        <w:pStyle w:val="berschrift3"/>
      </w:pPr>
      <w:r>
        <w:rPr>
          <w:rStyle w:val="VerbatimChar"/>
        </w:rPr>
        <w:t xml:space="preserve">4.</w:t>
      </w:r>
      <w:r>
        <w:t xml:space="preserve"> </w:t>
      </w:r>
      <w:r>
        <w:t xml:space="preserve">Geometric Corrections Metadata (Co-Registration and Ortho-Rectification)</w:t>
      </w:r>
    </w:p>
    <w:p>
      <w:pPr>
        <w:pStyle w:val="FirstParagraph"/>
      </w:pPr>
      <w:r>
        <w:t xml:space="preserve">Geometric corrections must place the measurement accurately on the surface of the Earth (that is, geolocate the measurement) allowing measurements taken through time to be compared. Ocean and coastal imagery do not have an independent terrestrial referencing system and therefore</w:t>
      </w:r>
      <w:r>
        <w:t xml:space="preserve"> </w:t>
      </w:r>
      <w:hyperlink w:anchor="sec:gcom-corore">
        <w:r>
          <w:rPr>
            <w:rStyle w:val="Hyperlink"/>
          </w:rPr>
          <w:t xml:space="preserve">Geometric Corrections Metadata (Co-Registration and Ortho-Rectification): Co-Registration and Ortho-Rectification</w:t>
        </w:r>
      </w:hyperlink>
      <w:r>
        <w:t xml:space="preserve"> </w:t>
      </w:r>
      <w:r>
        <w:t xml:space="preserve">applies to that imagery.</w:t>
      </w:r>
    </w:p>
    <w:bookmarkStart w:id="250" w:name="sec:gcom-geocorr-a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gcom-geocorr-ar</w:t>
      </w:r>
    </w:p>
    <w:p>
      <w:pPr>
        <w:pStyle w:val="Textkrper"/>
      </w:pPr>
      <w:r>
        <w:t xml:space="preserve">Applies for:</w:t>
      </w:r>
    </w:p>
    <w:p>
      <w:pPr>
        <w:pStyle w:val="Compact"/>
        <w:numPr>
          <w:ilvl w:val="0"/>
          <w:numId w:val="1088"/>
        </w:numPr>
      </w:pPr>
      <w:r>
        <w:t xml:space="preserve">land</w:t>
      </w:r>
    </w:p>
    <w:p>
      <w:pPr>
        <w:pStyle w:val="Compact"/>
        <w:numPr>
          <w:ilvl w:val="0"/>
          <w:numId w:val="1088"/>
        </w:numPr>
      </w:pPr>
      <w:r>
        <w:t xml:space="preserve">inland waters where an independent terrestrial referencing system is available</w:t>
      </w:r>
    </w:p>
    <w:bookmarkStart w:id="247" w:name="threshold-requirements-51"/>
    <w:p>
      <w:pPr>
        <w:pStyle w:val="berschrift5"/>
      </w:pPr>
      <w:r>
        <w:t xml:space="preserve">Threshold requirements:</w:t>
      </w:r>
    </w:p>
    <w:p>
      <w:pPr>
        <w:pStyle w:val="FirstParagraph"/>
      </w:pPr>
      <w:r>
        <w:t xml:space="preserve">Sub-pixel uncertainty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uncertainty is taken to be less than or equal to 0.5-pixel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Notes:</w:t>
      </w:r>
    </w:p>
    <w:p>
      <w:pPr>
        <w:pStyle w:val="Compact"/>
        <w:numPr>
          <w:ilvl w:val="0"/>
          <w:numId w:val="1089"/>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p>
      <w:pPr>
        <w:pStyle w:val="Compact"/>
        <w:numPr>
          <w:ilvl w:val="0"/>
          <w:numId w:val="1089"/>
        </w:numPr>
      </w:pPr>
      <w:r>
        <w:t xml:space="preserve">It is useful to note if the sensor is used at its native resolution before geometric correction or that some resampling must be done.</w:t>
      </w:r>
    </w:p>
    <w:bookmarkEnd w:id="247"/>
    <w:bookmarkStart w:id="248" w:name="goal-requirements-51"/>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w:t>
      </w:r>
      <w:r>
        <w:t xml:space="preserve"> </w:t>
      </w:r>
      <w:hyperlink w:anchor="sec:meta-geounc">
        <w:r>
          <w:rPr>
            <w:rStyle w:val="Hyperlink"/>
          </w:rPr>
          <w:t xml:space="preserve">General Metadata: Geometric Uncertainty of the Data</w:t>
        </w:r>
      </w:hyperlink>
      <w:r>
        <w:t xml:space="preserve"> </w:t>
      </w:r>
      <w:r>
        <w:t xml:space="preserve">and</w:t>
      </w:r>
      <w:r>
        <w:t xml:space="preserve"> </w:t>
      </w:r>
      <w:hyperlink w:anchor="sec:meta-instru-ar">
        <w:r>
          <w:rPr>
            <w:rStyle w:val="Hyperlink"/>
          </w:rPr>
          <w:t xml:space="preserve">General Metadata: Instrument</w:t>
        </w:r>
      </w:hyperlink>
      <w:r>
        <w:t xml:space="preserve">.</w:t>
      </w:r>
    </w:p>
    <w:p>
      <w:pPr>
        <w:pStyle w:val="Textkrper"/>
      </w:pPr>
      <w:r>
        <w:t xml:space="preserve">Note:</w:t>
      </w:r>
    </w:p>
    <w:p>
      <w:pPr>
        <w:pStyle w:val="Compact"/>
        <w:numPr>
          <w:ilvl w:val="0"/>
          <w:numId w:val="1090"/>
        </w:numPr>
      </w:pPr>
      <w:r>
        <w:t xml:space="preserve">This requirement is intended to enable interoperability between imagery from different platforms that meet this level of correction and with non-image spatial data such as GIS layers and terrain models.</w:t>
      </w:r>
    </w:p>
    <w:bookmarkEnd w:id="248"/>
    <w:bookmarkStart w:id="249" w:name="assessment-51"/>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49"/>
    <w:bookmarkEnd w:id="250"/>
    <w:bookmarkStart w:id="254" w:name="sec:gcom-corore"/>
    <w:p>
      <w:pPr>
        <w:pStyle w:val="berschrift4"/>
      </w:pPr>
      <w:r>
        <w:rPr>
          <w:rStyle w:val="VerbatimChar"/>
        </w:rPr>
        <w:t xml:space="preserve">4.2.</w:t>
      </w:r>
      <w:r>
        <w:t xml:space="preserve"> </w:t>
      </w:r>
      <w:r>
        <w:t xml:space="preserve">Co-Registration and Ortho-Rectification</w:t>
      </w:r>
    </w:p>
    <w:p>
      <w:pPr>
        <w:pStyle w:val="FirstParagraph"/>
      </w:pPr>
      <w:r>
        <w:t xml:space="preserve">Identifier:</w:t>
      </w:r>
      <w:r>
        <w:t xml:space="preserve"> </w:t>
      </w:r>
      <w:r>
        <w:rPr>
          <w:rStyle w:val="VerbatimChar"/>
        </w:rPr>
        <w:t xml:space="preserve">gcom-corore</w:t>
      </w:r>
    </w:p>
    <w:bookmarkStart w:id="251" w:name="threshold-requirements-52"/>
    <w:p>
      <w:pPr>
        <w:pStyle w:val="berschrift5"/>
      </w:pPr>
      <w:r>
        <w:t xml:space="preserve">Threshold requirements:</w:t>
      </w:r>
    </w:p>
    <w:p>
      <w:pPr>
        <w:pStyle w:val="FirstParagraph"/>
      </w:pPr>
      <w:r>
        <w:t xml:space="preserve">Co-registration is performed to ensure consistency of pixel location in each spectral band of one image at 0.5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p>
      <w:pPr>
        <w:pStyle w:val="Textkrper"/>
      </w:pPr>
      <w:r>
        <w:t xml:space="preserve">Note:</w:t>
      </w:r>
    </w:p>
    <w:p>
      <w:pPr>
        <w:pStyle w:val="Compact"/>
        <w:numPr>
          <w:ilvl w:val="0"/>
          <w:numId w:val="1092"/>
        </w:numPr>
      </w:pPr>
      <w:r>
        <w:t xml:space="preserve">Including but not limited to ocean-to-sea to coastal, estuarine, deltaic, lagoonal waters and inland water bodies such as canals, rivers, lakes and reservoirs.</w:t>
      </w:r>
    </w:p>
    <w:bookmarkEnd w:id="251"/>
    <w:bookmarkStart w:id="252" w:name="goal-requirements-52"/>
    <w:p>
      <w:pPr>
        <w:pStyle w:val="berschrift5"/>
      </w:pPr>
      <w:r>
        <w:t xml:space="preserve">Goal requirements:</w:t>
      </w:r>
    </w:p>
    <w:p>
      <w:pPr>
        <w:pStyle w:val="FirstParagraph"/>
      </w:pPr>
      <w:r>
        <w:t xml:space="preserve">Co-registration is performed to ensure consistency of pixel location in each spectral band of one image at 0.2 GSD.</w:t>
      </w:r>
    </w:p>
    <w:p>
      <w:pPr>
        <w:pStyle w:val="Textkrper"/>
      </w:pPr>
      <w:r>
        <w:t xml:space="preserve">Ortho rectification specifies the pointing accuracy related to a geographic reference grid. The associated uncertainty is pixel size dependent and therefore cannot be given an a priori measure of uncertainty.</w:t>
      </w:r>
    </w:p>
    <w:p>
      <w:pPr>
        <w:pStyle w:val="Textkrper"/>
      </w:pPr>
      <w:r>
        <w:t xml:space="preserve">The specifications of the co-registration and ortho-rectification processing (including parameterisation data) must be provided, including the estimated uncertainty of each processing, in publicly available documentation.</w:t>
      </w:r>
    </w:p>
    <w:bookmarkEnd w:id="252"/>
    <w:bookmarkStart w:id="253" w:name="assessment-52"/>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br w:type="page"/>
      </w:r>
    </w:p>
    <w:bookmarkEnd w:id="253"/>
    <w:bookmarkEnd w:id="254"/>
    <w:bookmarkEnd w:id="255"/>
    <w:bookmarkEnd w:id="256"/>
    <w:bookmarkStart w:id="261" w:name="summary-self-assessment-table"/>
    <w:p>
      <w:pPr>
        <w:pStyle w:val="berschrift2"/>
      </w:pPr>
      <w:r>
        <w:t xml:space="preserve">Summary Self-Assessment Table</w:t>
      </w:r>
    </w:p>
    <w:bookmarkStart w:id="257"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meta-trace-ar</w:t>
            </w:r>
          </w:p>
        </w:tc>
        <w:tc>
          <w:tcPr/>
          <w:p>
            <w:pPr>
              <w:pStyle w:val="Compact"/>
            </w:pPr>
            <w:r>
              <w:t xml:space="preserve">Traceability</w:t>
            </w:r>
          </w:p>
        </w:tc>
        <w:tc>
          <w:tcPr/>
          <w:p>
            <w:pPr>
              <w:pStyle w:val="Compact"/>
            </w:pP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meta-time-ar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meta-geocorm-ar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meta-specband-ar</w:t>
            </w:r>
          </w:p>
        </w:tc>
        <w:tc>
          <w:tcPr/>
          <w:p>
            <w:pPr>
              <w:pStyle w:val="Compact"/>
            </w:pPr>
            <w:r>
              <w:t xml:space="preserve">Spectral Bands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meta-sencal-ar</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meta-radunc</w:t>
            </w:r>
          </w:p>
        </w:tc>
        <w:tc>
          <w:tcPr/>
          <w:p>
            <w:pPr>
              <w:pStyle w:val="Compact"/>
            </w:pPr>
            <w:r>
              <w:t xml:space="preserve">Measurand Radiometric Uncertainty</w:t>
            </w:r>
          </w:p>
        </w:tc>
        <w:tc>
          <w:tcPr/>
          <w:p>
            <w:pPr>
              <w:pStyle w:val="Compact"/>
            </w:pPr>
          </w:p>
        </w:tc>
        <w:tc>
          <w:tcPr/>
          <w:p>
            <w:pPr>
              <w:pStyle w:val="Compact"/>
            </w:pPr>
          </w:p>
        </w:tc>
      </w:tr>
      <w:tr>
        <w:tc>
          <w:tcPr/>
          <w:p>
            <w:pPr>
              <w:pStyle w:val="Compact"/>
            </w:pPr>
            <w:r>
              <w:rPr>
                <w:rStyle w:val="VerbatimChar"/>
              </w:rPr>
              <w:t xml:space="preserve">meta-radenc</w:t>
            </w:r>
          </w:p>
        </w:tc>
        <w:tc>
          <w:tcPr/>
          <w:p>
            <w:pPr>
              <w:pStyle w:val="Compact"/>
            </w:pPr>
            <w:r>
              <w:t xml:space="preserve">Radiometric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meta-malgos-ar</w:t>
            </w:r>
          </w:p>
        </w:tc>
        <w:tc>
          <w:tcPr/>
          <w:p>
            <w:pPr>
              <w:pStyle w:val="Compact"/>
            </w:pPr>
            <w:r>
              <w:t xml:space="preserve">Algorithms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meta-auxdat-ar</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meta-proprov-ar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257"/>
    <w:bookmarkStart w:id="258"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pxl-pinodat-ar</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pxl-pixass</w:t>
            </w:r>
          </w:p>
        </w:tc>
        <w:tc>
          <w:tcPr/>
          <w:p>
            <w:pPr>
              <w:pStyle w:val="Compact"/>
            </w:pPr>
            <w:r>
              <w:t xml:space="preserve">Per-pixel Assessment</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pxl-picloud-ar</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pxl-picloudsh-ar</w:t>
            </w:r>
          </w:p>
        </w:tc>
        <w:tc>
          <w:tcPr/>
          <w:p>
            <w:pPr>
              <w:pStyle w:val="Compact"/>
            </w:pPr>
            <w:r>
              <w:t xml:space="preserve">Cloud Shadow</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pxl-lawama-ar</w:t>
            </w:r>
          </w:p>
        </w:tc>
        <w:tc>
          <w:tcPr/>
          <w:p>
            <w:pPr>
              <w:pStyle w:val="Compact"/>
            </w:pPr>
            <w:r>
              <w:t xml:space="preserve">Land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pxl-pice</w:t>
            </w:r>
          </w:p>
        </w:tc>
        <w:tc>
          <w:tcPr/>
          <w:p>
            <w:pPr>
              <w:pStyle w:val="Compact"/>
            </w:pPr>
            <w:r>
              <w:t xml:space="preserve">Ice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pxl-pisungli</w:t>
            </w:r>
          </w:p>
        </w:tc>
        <w:tc>
          <w:tcPr/>
          <w:p>
            <w:pPr>
              <w:pStyle w:val="Compact"/>
            </w:pPr>
            <w:r>
              <w:t xml:space="preserve">Sun Glint</w:t>
            </w:r>
          </w:p>
        </w:tc>
        <w:tc>
          <w:tcPr/>
          <w:p>
            <w:pPr>
              <w:pStyle w:val="Compact"/>
            </w:pPr>
          </w:p>
        </w:tc>
        <w:tc>
          <w:tcPr/>
          <w:p>
            <w:pPr>
              <w:pStyle w:val="Compact"/>
            </w:pPr>
          </w:p>
        </w:tc>
      </w:tr>
      <w:tr>
        <w:tc>
          <w:tcPr/>
          <w:p>
            <w:pPr>
              <w:pStyle w:val="Compact"/>
            </w:pPr>
            <w:r>
              <w:rPr>
                <w:rStyle w:val="VerbatimChar"/>
              </w:rPr>
              <w:t xml:space="preserve">pxl-piskygli</w:t>
            </w:r>
          </w:p>
        </w:tc>
        <w:tc>
          <w:tcPr/>
          <w:p>
            <w:pPr>
              <w:pStyle w:val="Compact"/>
            </w:pPr>
            <w:r>
              <w:t xml:space="preserve">Sky Glint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pxl-piwhifo</w:t>
            </w:r>
          </w:p>
        </w:tc>
        <w:tc>
          <w:tcPr/>
          <w:p>
            <w:pPr>
              <w:pStyle w:val="Compact"/>
            </w:pPr>
            <w:r>
              <w:t xml:space="preserve">Whitecap / Foam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pxl-paodpara</w:t>
            </w:r>
          </w:p>
        </w:tc>
        <w:tc>
          <w:tcPr/>
          <w:p>
            <w:pPr>
              <w:pStyle w:val="Compact"/>
            </w:pPr>
            <w:r>
              <w:t xml:space="preserve">Aerosol Optical Depth Parameters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pxl-pajdeff</w:t>
            </w:r>
          </w:p>
        </w:tc>
        <w:tc>
          <w:tcPr/>
          <w:p>
            <w:pPr>
              <w:pStyle w:val="Compact"/>
            </w:pPr>
            <w:r>
              <w:t xml:space="preserve">Adjacency Effects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pxl-floatveg</w:t>
            </w:r>
          </w:p>
        </w:tc>
        <w:tc>
          <w:tcPr/>
          <w:p>
            <w:pPr>
              <w:pStyle w:val="Compact"/>
            </w:pPr>
            <w:r>
              <w:t xml:space="preserve">Floating Vegetation / Surface Scum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pxl-pibathy</w:t>
            </w:r>
          </w:p>
        </w:tc>
        <w:tc>
          <w:tcPr/>
          <w:p>
            <w:pPr>
              <w:pStyle w:val="Compact"/>
            </w:pPr>
            <w:r>
              <w:t xml:space="preserve">Bathymetry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pxl-podosas</w:t>
            </w:r>
          </w:p>
        </w:tc>
        <w:tc>
          <w:tcPr/>
          <w:p>
            <w:pPr>
              <w:pStyle w:val="Compact"/>
            </w:pPr>
            <w:r>
              <w:t xml:space="preserve">Optically Deep or Optically Shallow Assessment</w:t>
            </w:r>
          </w:p>
        </w:tc>
        <w:tc>
          <w:tcPr/>
          <w:p>
            <w:pPr>
              <w:pStyle w:val="Compact"/>
            </w:pPr>
          </w:p>
        </w:tc>
        <w:tc>
          <w:tcPr/>
          <w:p>
            <w:pPr>
              <w:pStyle w:val="Compact"/>
            </w:pPr>
          </w:p>
        </w:tc>
      </w:tr>
      <w:tr>
        <w:tc>
          <w:tcPr/>
          <w:p>
            <w:pPr>
              <w:pStyle w:val="Compact"/>
            </w:pPr>
            <w:r>
              <w:rPr>
                <w:rStyle w:val="VerbatimChar"/>
              </w:rPr>
              <w:t xml:space="preserve">pxl-powaty</w:t>
            </w:r>
          </w:p>
        </w:tc>
        <w:tc>
          <w:tcPr/>
          <w:p>
            <w:pPr>
              <w:pStyle w:val="Compact"/>
            </w:pPr>
            <w:r>
              <w:t xml:space="preserve">Optical Water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pxl-pituwa</w:t>
            </w:r>
          </w:p>
        </w:tc>
        <w:tc>
          <w:tcPr/>
          <w:p>
            <w:pPr>
              <w:pStyle w:val="Compact"/>
            </w:pPr>
            <w:r>
              <w:t xml:space="preserve">Turbid Water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pxl-piwaele</w:t>
            </w:r>
          </w:p>
        </w:tc>
        <w:tc>
          <w:tcPr/>
          <w:p>
            <w:pPr>
              <w:pStyle w:val="Compact"/>
            </w:pPr>
            <w:r>
              <w:t xml:space="preserve">Elevation</w:t>
            </w:r>
          </w:p>
        </w:tc>
        <w:tc>
          <w:tcPr/>
          <w:p>
            <w:pPr>
              <w:pStyle w:val="Compact"/>
            </w:pPr>
          </w:p>
        </w:tc>
        <w:tc>
          <w:tcPr/>
          <w:p>
            <w:pPr>
              <w:pStyle w:val="Compact"/>
              <w:jc w:val="center"/>
            </w:pPr>
            <w:r>
              <w:rPr>
                <w:i/>
                <w:iCs/>
              </w:rPr>
              <w:t xml:space="preserve">as threshold</w:t>
            </w:r>
          </w:p>
        </w:tc>
      </w:tr>
    </w:tbl>
    <w:bookmarkEnd w:id="258"/>
    <w:bookmarkStart w:id="259" w:name="products-and-algorithms"/>
    <w:p>
      <w:pPr>
        <w:pStyle w:val="berschrift3"/>
      </w:pPr>
      <w:r>
        <w:t xml:space="preserve">Products and Algorithms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pral-measur-ar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pral-muncer-ar</w:t>
            </w:r>
          </w:p>
        </w:tc>
        <w:tc>
          <w:tcPr/>
          <w:p>
            <w:pPr>
              <w:pStyle w:val="Compact"/>
            </w:pPr>
            <w:r>
              <w:t xml:space="preserve">Measurement Uncertainty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pral-mnormal-ar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pral-dirats-ar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pral-wavap-ar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pral-cozone</w:t>
            </w:r>
          </w:p>
        </w:tc>
        <w:tc>
          <w:tcPr/>
          <w:p>
            <w:pPr>
              <w:pStyle w:val="Compact"/>
            </w:pPr>
            <w:r>
              <w:t xml:space="preserve">Ozone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pral-ogasab</w:t>
            </w:r>
          </w:p>
        </w:tc>
        <w:tc>
          <w:tcPr/>
          <w:p>
            <w:pPr>
              <w:pStyle w:val="Compact"/>
            </w:pPr>
            <w:r>
              <w:t xml:space="preserve">Other Gaseous Absorption Corrections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pral-cosungli</w:t>
            </w:r>
          </w:p>
        </w:tc>
        <w:tc>
          <w:tcPr/>
          <w:p>
            <w:pPr>
              <w:pStyle w:val="Compact"/>
            </w:pPr>
            <w:r>
              <w:t xml:space="preserve">Sun Glint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pral-coskygli</w:t>
            </w:r>
          </w:p>
        </w:tc>
        <w:tc>
          <w:tcPr/>
          <w:p>
            <w:pPr>
              <w:pStyle w:val="Compact"/>
            </w:pPr>
            <w:r>
              <w:t xml:space="preserve">Sky Glint Correction</w:t>
            </w:r>
          </w:p>
        </w:tc>
        <w:tc>
          <w:tcPr/>
          <w:p>
            <w:pPr>
              <w:pStyle w:val="Compact"/>
            </w:pPr>
          </w:p>
        </w:tc>
        <w:tc>
          <w:tcPr/>
          <w:p>
            <w:pPr>
              <w:pStyle w:val="Compact"/>
            </w:pPr>
          </w:p>
        </w:tc>
      </w:tr>
      <w:tr>
        <w:tc>
          <w:tcPr/>
          <w:p>
            <w:pPr>
              <w:pStyle w:val="Compact"/>
            </w:pPr>
            <w:r>
              <w:rPr>
                <w:rStyle w:val="VerbatimChar"/>
              </w:rPr>
              <w:t xml:space="preserve">pral-cowhifo</w:t>
            </w:r>
          </w:p>
        </w:tc>
        <w:tc>
          <w:tcPr/>
          <w:p>
            <w:pPr>
              <w:pStyle w:val="Compact"/>
            </w:pPr>
            <w:r>
              <w:t xml:space="preserve">Whitecap / Foam Correction</w:t>
            </w:r>
          </w:p>
        </w:tc>
        <w:tc>
          <w:tcPr/>
          <w:p>
            <w:pPr>
              <w:pStyle w:val="Compact"/>
            </w:pPr>
          </w:p>
        </w:tc>
        <w:tc>
          <w:tcPr/>
          <w:p>
            <w:pPr>
              <w:pStyle w:val="Compact"/>
            </w:pPr>
          </w:p>
        </w:tc>
      </w:tr>
      <w:tr>
        <w:tc>
          <w:tcPr/>
          <w:p>
            <w:pPr>
              <w:pStyle w:val="Compact"/>
            </w:pPr>
            <w:r>
              <w:rPr>
                <w:rStyle w:val="VerbatimChar"/>
              </w:rPr>
              <w:t xml:space="preserve">pral-cajdeff</w:t>
            </w:r>
          </w:p>
        </w:tc>
        <w:tc>
          <w:tcPr/>
          <w:p>
            <w:pPr>
              <w:pStyle w:val="Compact"/>
            </w:pPr>
            <w:r>
              <w:t xml:space="preserve">Adjacency Effects Correction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pral-cotuwa</w:t>
            </w:r>
          </w:p>
        </w:tc>
        <w:tc>
          <w:tcPr/>
          <w:p>
            <w:pPr>
              <w:pStyle w:val="Compact"/>
            </w:pPr>
            <w:r>
              <w:t xml:space="preserve">Turbid Water Reflectance Correction</w:t>
            </w:r>
          </w:p>
        </w:tc>
        <w:tc>
          <w:tcPr/>
          <w:p>
            <w:pPr>
              <w:pStyle w:val="Compact"/>
            </w:pPr>
          </w:p>
        </w:tc>
        <w:tc>
          <w:tcPr/>
          <w:p>
            <w:pPr>
              <w:pStyle w:val="Compact"/>
              <w:jc w:val="center"/>
            </w:pPr>
            <w:r>
              <w:rPr>
                <w:i/>
                <w:iCs/>
              </w:rPr>
              <w:t xml:space="preserve">as threshold</w:t>
            </w:r>
          </w:p>
        </w:tc>
      </w:tr>
    </w:tbl>
    <w:bookmarkEnd w:id="259"/>
    <w:bookmarkStart w:id="260" w:name="Xc6e26d369529cdba33c511a7fba4df43485f09c"/>
    <w:p>
      <w:pPr>
        <w:pStyle w:val="berschrift3"/>
      </w:pPr>
      <w:r>
        <w:t xml:space="preserve">Geometric Corrections Metadata (Co-Registration and Ortho-Rectification)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gcom-geocorr-ar</w:t>
            </w:r>
          </w:p>
        </w:tc>
        <w:tc>
          <w:tcPr/>
          <w:p>
            <w:pPr>
              <w:pStyle w:val="Compact"/>
            </w:pPr>
            <w:r>
              <w:t xml:space="preserve">Geometric Correction</w:t>
            </w:r>
          </w:p>
        </w:tc>
        <w:tc>
          <w:tcPr/>
          <w:p>
            <w:pPr>
              <w:pStyle w:val="Compact"/>
            </w:pPr>
          </w:p>
        </w:tc>
        <w:tc>
          <w:tcPr/>
          <w:p>
            <w:pPr>
              <w:pStyle w:val="Compact"/>
            </w:pPr>
          </w:p>
        </w:tc>
      </w:tr>
      <w:tr>
        <w:tc>
          <w:tcPr/>
          <w:p>
            <w:pPr>
              <w:pStyle w:val="Compact"/>
            </w:pPr>
            <w:r>
              <w:rPr>
                <w:rStyle w:val="VerbatimChar"/>
              </w:rPr>
              <w:t xml:space="preserve">gcom-corore</w:t>
            </w:r>
          </w:p>
        </w:tc>
        <w:tc>
          <w:tcPr/>
          <w:p>
            <w:pPr>
              <w:pStyle w:val="Compact"/>
            </w:pPr>
            <w:r>
              <w:t xml:space="preserve">Co-Registration and Ortho-Rectification</w:t>
            </w:r>
          </w:p>
        </w:tc>
        <w:tc>
          <w:tcPr/>
          <w:p>
            <w:pPr>
              <w:pStyle w:val="Compact"/>
            </w:pPr>
          </w:p>
        </w:tc>
        <w:tc>
          <w:tcPr/>
          <w:p>
            <w:pPr>
              <w:pStyle w:val="Compact"/>
            </w:pPr>
          </w:p>
        </w:tc>
      </w:tr>
    </w:tbl>
    <w:p>
      <w:r>
        <w:br w:type="page"/>
      </w:r>
    </w:p>
    <w:bookmarkEnd w:id="260"/>
    <w:bookmarkEnd w:id="261"/>
    <w:bookmarkStart w:id="266"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62"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62"/>
    <w:bookmarkStart w:id="264"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4"/>
        </w:numPr>
      </w:pPr>
      <w:r>
        <w:t xml:space="preserve">that product has been assessed as meeting CEOS-ARD requirements by the agency responsible for production and distribution of the product, and</w:t>
      </w:r>
    </w:p>
    <w:p>
      <w:pPr>
        <w:pStyle w:val="Compact"/>
        <w:numPr>
          <w:ilvl w:val="0"/>
          <w:numId w:val="1094"/>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63">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64"/>
    <w:bookmarkStart w:id="265"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265"/>
    <w:bookmarkEnd w:id="266"/>
    <w:bookmarkStart w:id="425" w:name="references"/>
    <w:p>
      <w:pPr>
        <w:pStyle w:val="berschrift2"/>
      </w:pPr>
      <w:r>
        <w:t xml:space="preserve">References</w:t>
      </w:r>
    </w:p>
    <w:bookmarkStart w:id="424" w:name="refs"/>
    <w:bookmarkStart w:id="268" w:name="ref-bell2023"/>
    <w:p>
      <w:pPr>
        <w:pStyle w:val="Literaturverzeichnis"/>
      </w:pPr>
      <w:r>
        <w:t xml:space="preserve">Bell, Kyle C. AND Saccomanno, Tom W. AND Cavanaugh. 2023.</w:t>
      </w:r>
      <w:r>
        <w:t xml:space="preserve"> </w:t>
      </w:r>
      <w:r>
        <w:t xml:space="preserve">“Kelpwatch: A New Visualization and Analysis Tool to Explore Kelp Canopy Dynamics Reveals Variable Response to and Recovery from Marine Heatwaves.”</w:t>
      </w:r>
      <w:r>
        <w:t xml:space="preserve"> </w:t>
      </w:r>
      <w:r>
        <w:rPr>
          <w:i/>
          <w:iCs/>
        </w:rPr>
        <w:t xml:space="preserve">PLOS ONE</w:t>
      </w:r>
      <w:r>
        <w:t xml:space="preserve"> </w:t>
      </w:r>
      <w:r>
        <w:t xml:space="preserve">18 (3): 1–21.</w:t>
      </w:r>
      <w:r>
        <w:t xml:space="preserve"> </w:t>
      </w:r>
      <w:hyperlink r:id="rId267">
        <w:r>
          <w:rPr>
            <w:rStyle w:val="Hyperlink"/>
          </w:rPr>
          <w:t xml:space="preserve">https://doi.org/10.1371/journal.pone.0271477</w:t>
        </w:r>
      </w:hyperlink>
      <w:r>
        <w:t xml:space="preserve">.</w:t>
      </w:r>
    </w:p>
    <w:bookmarkEnd w:id="268"/>
    <w:bookmarkStart w:id="270" w:name="ref-hieronymi2024"/>
    <w:p>
      <w:pPr>
        <w:pStyle w:val="Literaturverzeichnis"/>
      </w:pPr>
      <w:r>
        <w:t xml:space="preserve">Bi, Shun, and Martin Hieronymi. 2024.</w:t>
      </w:r>
      <w:r>
        <w:t xml:space="preserve"> </w:t>
      </w:r>
      <w:r>
        <w:t xml:space="preserve">“Holistic Optical Water Type Classification for Ocean, Coastal, and Inland Waters.”</w:t>
      </w:r>
      <w:r>
        <w:t xml:space="preserve"> </w:t>
      </w:r>
      <w:r>
        <w:rPr>
          <w:i/>
          <w:iCs/>
        </w:rPr>
        <w:t xml:space="preserve">Limnology and Oceanography</w:t>
      </w:r>
      <w:r>
        <w:t xml:space="preserve"> </w:t>
      </w:r>
      <w:r>
        <w:t xml:space="preserve">69 (7): 1547–61. https://doi.org/</w:t>
      </w:r>
      <w:hyperlink r:id="rId269">
        <w:r>
          <w:rPr>
            <w:rStyle w:val="Hyperlink"/>
          </w:rPr>
          <w:t xml:space="preserve">https://doi.org/10.1002/lno.12606</w:t>
        </w:r>
      </w:hyperlink>
      <w:r>
        <w:t xml:space="preserve">.</w:t>
      </w:r>
    </w:p>
    <w:bookmarkEnd w:id="270"/>
    <w:bookmarkStart w:id="272" w:name="ref-botha2016"/>
    <w:p>
      <w:pPr>
        <w:pStyle w:val="Literaturverzeichnis"/>
      </w:pPr>
      <w:r>
        <w:t xml:space="preserve">Botha, Elizabeth J., Vittorio E. Brando, and Arnold G. Dekker. 2016.</w:t>
      </w:r>
      <w:r>
        <w:t xml:space="preserve"> </w:t>
      </w:r>
      <w:r>
        <w:t xml:space="preserve">“Effects of Per-Pixel Variability on Uncertainties in Bathymetric Retrievals from High-Resolution Satellite Images.”</w:t>
      </w:r>
      <w:r>
        <w:t xml:space="preserve"> </w:t>
      </w:r>
      <w:r>
        <w:rPr>
          <w:i/>
          <w:iCs/>
        </w:rPr>
        <w:t xml:space="preserve">Remote Sensing</w:t>
      </w:r>
      <w:r>
        <w:t xml:space="preserve"> </w:t>
      </w:r>
      <w:r>
        <w:t xml:space="preserve">8 (6).</w:t>
      </w:r>
      <w:r>
        <w:t xml:space="preserve"> </w:t>
      </w:r>
      <w:hyperlink r:id="rId271">
        <w:r>
          <w:rPr>
            <w:rStyle w:val="Hyperlink"/>
          </w:rPr>
          <w:t xml:space="preserve">https://doi.org/10.3390/rs8060459</w:t>
        </w:r>
      </w:hyperlink>
      <w:r>
        <w:t xml:space="preserve">.</w:t>
      </w:r>
    </w:p>
    <w:bookmarkEnd w:id="272"/>
    <w:bookmarkStart w:id="274" w:name="ref-bourg2014"/>
    <w:p>
      <w:pPr>
        <w:pStyle w:val="Literaturverzeichnis"/>
      </w:pPr>
      <w:r>
        <w:t xml:space="preserve">Bourg, L. 2014.</w:t>
      </w:r>
      <w:r>
        <w:t xml:space="preserve"> </w:t>
      </w:r>
      <w:r>
        <w:rPr>
          <w:i/>
          <w:iCs/>
        </w:rPr>
        <w:t xml:space="preserve">Sentinel-3 OLCI Level 0 and Level 1B, Algorithm Theoretical Basis Document (ATBD), Issue 5.0</w:t>
      </w:r>
      <w:r>
        <w:t xml:space="preserve">. Algorithm Theoretical Basis Document S3-ACR-TN-007.</w:t>
      </w:r>
      <w:r>
        <w:t xml:space="preserve"> </w:t>
      </w:r>
      <w:hyperlink r:id="rId273">
        <w:r>
          <w:rPr>
            <w:rStyle w:val="Hyperlink"/>
          </w:rPr>
          <w:t xml:space="preserve">https://sentiwiki.copernicus.eu/__attachments/1672112/S3-ACR-TN-007%20-%20Sentinel%203%20OLCI%20Level%200%20and%201B%20ATBD%202014%20-%205.0.pdf</w:t>
        </w:r>
      </w:hyperlink>
      <w:r>
        <w:t xml:space="preserve">.</w:t>
      </w:r>
    </w:p>
    <w:bookmarkEnd w:id="274"/>
    <w:bookmarkStart w:id="276" w:name="ref-brando2009"/>
    <w:p>
      <w:pPr>
        <w:pStyle w:val="Literaturverzeichnis"/>
      </w:pPr>
      <w:r>
        <w:t xml:space="preserve">Brando, Vittorio E., Janet M. Anstee, Magnus Wettle, Arnold G. Dekker, Stuart R. Phinn, and Chris Roelfsema. 2009.</w:t>
      </w:r>
      <w:r>
        <w:t xml:space="preserve"> </w:t>
      </w:r>
      <w:r>
        <w:t xml:space="preserve">“A Physics Based Retrieval and Quality Assessment of Bathymetry from Suboptimal Hyperspectral Data.”</w:t>
      </w:r>
      <w:r>
        <w:t xml:space="preserve"> </w:t>
      </w:r>
      <w:r>
        <w:rPr>
          <w:i/>
          <w:iCs/>
        </w:rPr>
        <w:t xml:space="preserve">Remote Sensing of Environment</w:t>
      </w:r>
      <w:r>
        <w:t xml:space="preserve"> </w:t>
      </w:r>
      <w:r>
        <w:t xml:space="preserve">113 (4): 755–70. https://doi.org/</w:t>
      </w:r>
      <w:hyperlink r:id="rId275">
        <w:r>
          <w:rPr>
            <w:rStyle w:val="Hyperlink"/>
          </w:rPr>
          <w:t xml:space="preserve">https://doi.org/10.1016/j.rse.2008.12.003</w:t>
        </w:r>
      </w:hyperlink>
      <w:r>
        <w:t xml:space="preserve">.</w:t>
      </w:r>
    </w:p>
    <w:bookmarkEnd w:id="276"/>
    <w:bookmarkStart w:id="278" w:name="ref-bresciani2014"/>
    <w:p>
      <w:pPr>
        <w:pStyle w:val="Literaturverzeichnis"/>
      </w:pPr>
      <w:r>
        <w:t xml:space="preserve">Bresciani, Mariano, Maria Adamo, Giacomo De Carolis, et al. 2014.</w:t>
      </w:r>
      <w:r>
        <w:t xml:space="preserve"> </w:t>
      </w:r>
      <w:r>
        <w:t xml:space="preserve">“Monitoring Blooms and Surface Accumulation of Cyanobacteria in the Curonian Lagoon by Combining MERIS and ASAR Data.”</w:t>
      </w:r>
      <w:r>
        <w:t xml:space="preserve"> </w:t>
      </w:r>
      <w:r>
        <w:rPr>
          <w:i/>
          <w:iCs/>
        </w:rPr>
        <w:t xml:space="preserve">Remote Sensing of Environment</w:t>
      </w:r>
      <w:r>
        <w:t xml:space="preserve"> </w:t>
      </w:r>
      <w:r>
        <w:t xml:space="preserve">146: 124–35. https://doi.org/</w:t>
      </w:r>
      <w:hyperlink r:id="rId277">
        <w:r>
          <w:rPr>
            <w:rStyle w:val="Hyperlink"/>
          </w:rPr>
          <w:t xml:space="preserve">https://doi.org/10.1016/j.rse.2013.07.040</w:t>
        </w:r>
      </w:hyperlink>
      <w:r>
        <w:t xml:space="preserve">.</w:t>
      </w:r>
    </w:p>
    <w:bookmarkEnd w:id="278"/>
    <w:bookmarkStart w:id="280" w:name="ref-bulgarelli2014"/>
    <w:p>
      <w:pPr>
        <w:pStyle w:val="Literaturverzeichnis"/>
      </w:pPr>
      <w:r>
        <w:t xml:space="preserve">Bulgarelli, Barbara, Viatcheslav Kiselev, and Giuseppe Zibordi. 2014.</w:t>
      </w:r>
      <w:r>
        <w:t xml:space="preserve"> </w:t>
      </w:r>
      <w:r>
        <w:t xml:space="preserve">“Simulation and Analysis of Adjacency Effects in Coastal Waters: A Case Study.”</w:t>
      </w:r>
      <w:r>
        <w:t xml:space="preserve"> </w:t>
      </w:r>
      <w:r>
        <w:rPr>
          <w:i/>
          <w:iCs/>
        </w:rPr>
        <w:t xml:space="preserve">Appl. Opt.</w:t>
      </w:r>
      <w:r>
        <w:t xml:space="preserve"> </w:t>
      </w:r>
      <w:r>
        <w:t xml:space="preserve">53 (8): 1523–45.</w:t>
      </w:r>
      <w:r>
        <w:t xml:space="preserve"> </w:t>
      </w:r>
      <w:hyperlink r:id="rId279">
        <w:r>
          <w:rPr>
            <w:rStyle w:val="Hyperlink"/>
          </w:rPr>
          <w:t xml:space="preserve">https://doi.org/10.1364/AO.53.001523</w:t>
        </w:r>
      </w:hyperlink>
      <w:r>
        <w:t xml:space="preserve">.</w:t>
      </w:r>
    </w:p>
    <w:bookmarkEnd w:id="280"/>
    <w:bookmarkStart w:id="282" w:name="ref-bulgarelli2018"/>
    <w:p>
      <w:pPr>
        <w:pStyle w:val="Literaturverzeichnis"/>
      </w:pPr>
      <w:r>
        <w:t xml:space="preserve">Bulgarelli, Barbara, and Giuseppe Zibordi. 2018.</w:t>
      </w:r>
      <w:r>
        <w:t xml:space="preserve"> </w:t>
      </w:r>
      <w:r>
        <w:t xml:space="preserve">“On the Detectability of Adjacency Effects in Ocean Color Remote Sensing of Mid-Latitude Coastal Environments by SeaWiFS, MODIS-a, MERIS, OLCI, OLI and MSI.”</w:t>
      </w:r>
      <w:r>
        <w:t xml:space="preserve"> </w:t>
      </w:r>
      <w:r>
        <w:rPr>
          <w:i/>
          <w:iCs/>
        </w:rPr>
        <w:t xml:space="preserve">Remote Sensing of Environment</w:t>
      </w:r>
      <w:r>
        <w:t xml:space="preserve"> </w:t>
      </w:r>
      <w:r>
        <w:t xml:space="preserve">209: 423–38. https://doi.org/</w:t>
      </w:r>
      <w:hyperlink r:id="rId281">
        <w:r>
          <w:rPr>
            <w:rStyle w:val="Hyperlink"/>
          </w:rPr>
          <w:t xml:space="preserve">https://doi.org/10.1016/j.rse.2017.12.021</w:t>
        </w:r>
      </w:hyperlink>
      <w:r>
        <w:t xml:space="preserve">.</w:t>
      </w:r>
    </w:p>
    <w:bookmarkEnd w:id="282"/>
    <w:bookmarkStart w:id="284" w:name="ref-castagna2025"/>
    <w:p>
      <w:pPr>
        <w:pStyle w:val="Literaturverzeichnis"/>
      </w:pPr>
      <w:r>
        <w:t xml:space="preserve">Castagna, Alexandre, and Quinten Vanhellemont. 2025.</w:t>
      </w:r>
      <w:r>
        <w:t xml:space="preserve"> </w:t>
      </w:r>
      <w:r>
        <w:t xml:space="preserve">“A Generalized Physics-Based Correction for Adjacency Effects.”</w:t>
      </w:r>
      <w:r>
        <w:t xml:space="preserve"> </w:t>
      </w:r>
      <w:r>
        <w:rPr>
          <w:i/>
          <w:iCs/>
        </w:rPr>
        <w:t xml:space="preserve">Appl. Opt.</w:t>
      </w:r>
      <w:r>
        <w:t xml:space="preserve"> </w:t>
      </w:r>
      <w:r>
        <w:t xml:space="preserve">64 (10): 2719–43.</w:t>
      </w:r>
      <w:r>
        <w:t xml:space="preserve"> </w:t>
      </w:r>
      <w:hyperlink r:id="rId283">
        <w:r>
          <w:rPr>
            <w:rStyle w:val="Hyperlink"/>
          </w:rPr>
          <w:t xml:space="preserve">https://doi.org/10.1364/AO.546766</w:t>
        </w:r>
      </w:hyperlink>
      <w:r>
        <w:t xml:space="preserve">.</w:t>
      </w:r>
    </w:p>
    <w:bookmarkEnd w:id="284"/>
    <w:bookmarkStart w:id="286" w:name="ref-dekker2011"/>
    <w:p>
      <w:pPr>
        <w:pStyle w:val="Literaturverzeichnis"/>
      </w:pPr>
      <w:r>
        <w:t xml:space="preserve">Dekker, Arnold G., Stuart R. Phinn, Janet Anstee, et al. 2011.</w:t>
      </w:r>
      <w:r>
        <w:t xml:space="preserve"> </w:t>
      </w:r>
      <w:r>
        <w:t xml:space="preserve">“Intercomparison of Shallow Water Bathymetry, Hydro-Optics, and Benthos Mapping Techniques in Australian and Caribbean Coastal Environments.”</w:t>
      </w:r>
      <w:r>
        <w:t xml:space="preserve"> </w:t>
      </w:r>
      <w:r>
        <w:rPr>
          <w:i/>
          <w:iCs/>
        </w:rPr>
        <w:t xml:space="preserve">Limnology and Oceanography: Methods</w:t>
      </w:r>
      <w:r>
        <w:t xml:space="preserve"> </w:t>
      </w:r>
      <w:r>
        <w:t xml:space="preserve">9 (9): 396–425. https://doi.org/</w:t>
      </w:r>
      <w:hyperlink r:id="rId285">
        <w:r>
          <w:rPr>
            <w:rStyle w:val="Hyperlink"/>
          </w:rPr>
          <w:t xml:space="preserve">https://doi.org/10.4319/lom.2011.9.396</w:t>
        </w:r>
      </w:hyperlink>
      <w:r>
        <w:t xml:space="preserve">.</w:t>
      </w:r>
    </w:p>
    <w:bookmarkEnd w:id="286"/>
    <w:bookmarkStart w:id="288" w:name="ref-dierssen2019"/>
    <w:p>
      <w:pPr>
        <w:pStyle w:val="Literaturverzeichnis"/>
      </w:pPr>
      <w:r>
        <w:t xml:space="preserve">Dierssen, Heidi M. 2019.</w:t>
      </w:r>
      <w:r>
        <w:t xml:space="preserve"> </w:t>
      </w:r>
      <w:r>
        <w:t xml:space="preserve">“Hyperspectral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7 - 2019.</w:t>
      </w:r>
      <w:r>
        <w:t xml:space="preserve"> </w:t>
      </w:r>
      <w:hyperlink r:id="rId287">
        <w:r>
          <w:rPr>
            <w:rStyle w:val="Hyperlink"/>
          </w:rPr>
          <w:t xml:space="preserve">https://doi.org/10.3389/feart.2019.00014</w:t>
        </w:r>
      </w:hyperlink>
      <w:r>
        <w:t xml:space="preserve">.</w:t>
      </w:r>
    </w:p>
    <w:bookmarkEnd w:id="288"/>
    <w:bookmarkStart w:id="290" w:name="ref-dierssen2021"/>
    <w:p>
      <w:pPr>
        <w:pStyle w:val="Literaturverzeichnis"/>
      </w:pPr>
      <w:r>
        <w:t xml:space="preserve">Dierssen, Heidi M. 2021.</w:t>
      </w:r>
      <w:r>
        <w:t xml:space="preserve"> </w:t>
      </w:r>
      <w:r>
        <w:t xml:space="preserve">“Corrigendum: Hyperspectral Measurements, Parameterizations, and Atmospheric Correction of Whitecaps and Foam from Visible to Shortwave Infrared for Ocean Color Remote Sensing.”</w:t>
      </w:r>
      <w:r>
        <w:t xml:space="preserve"> </w:t>
      </w:r>
      <w:r>
        <w:rPr>
          <w:i/>
          <w:iCs/>
        </w:rPr>
        <w:t xml:space="preserve">Frontiers in Earth Science</w:t>
      </w:r>
      <w:r>
        <w:t xml:space="preserve"> </w:t>
      </w:r>
      <w:r>
        <w:t xml:space="preserve">Volume 9 - 2021.</w:t>
      </w:r>
      <w:r>
        <w:t xml:space="preserve"> </w:t>
      </w:r>
      <w:hyperlink r:id="rId289">
        <w:r>
          <w:rPr>
            <w:rStyle w:val="Hyperlink"/>
          </w:rPr>
          <w:t xml:space="preserve">https://doi.org/10.3389/feart.2021.683136</w:t>
        </w:r>
      </w:hyperlink>
      <w:r>
        <w:t xml:space="preserve">.</w:t>
      </w:r>
    </w:p>
    <w:bookmarkEnd w:id="290"/>
    <w:bookmarkStart w:id="292" w:name="ref-dworak2021"/>
    <w:p>
      <w:pPr>
        <w:pStyle w:val="Literaturverzeichnis"/>
      </w:pPr>
      <w:r>
        <w:t xml:space="preserve">Dworak, Richard, Yinghui Liu, Jeffrey Key, and Walter N. Meier. 2021.</w:t>
      </w:r>
      <w:r>
        <w:t xml:space="preserve"> </w:t>
      </w:r>
      <w:r>
        <w:t xml:space="preserve">“A Blended Sea Ice Concentration Product from AMSR2 and VIIRS.”</w:t>
      </w:r>
      <w:r>
        <w:t xml:space="preserve"> </w:t>
      </w:r>
      <w:r>
        <w:rPr>
          <w:i/>
          <w:iCs/>
        </w:rPr>
        <w:t xml:space="preserve">Remote Sensing</w:t>
      </w:r>
      <w:r>
        <w:t xml:space="preserve"> </w:t>
      </w:r>
      <w:r>
        <w:t xml:space="preserve">13 (15).</w:t>
      </w:r>
      <w:r>
        <w:t xml:space="preserve"> </w:t>
      </w:r>
      <w:hyperlink r:id="rId291">
        <w:r>
          <w:rPr>
            <w:rStyle w:val="Hyperlink"/>
          </w:rPr>
          <w:t xml:space="preserve">https://doi.org/10.3390/rs13152982</w:t>
        </w:r>
      </w:hyperlink>
      <w:r>
        <w:t xml:space="preserve">.</w:t>
      </w:r>
    </w:p>
    <w:bookmarkEnd w:id="292"/>
    <w:bookmarkStart w:id="294" w:name="ref-eumetsat2021"/>
    <w:p>
      <w:pPr>
        <w:pStyle w:val="Literaturverzeichnis"/>
      </w:pPr>
      <w:r>
        <w:t xml:space="preserve">EUMETSAT. 2021.</w:t>
      </w:r>
      <w:r>
        <w:t xml:space="preserve"> </w:t>
      </w:r>
      <w:r>
        <w:rPr>
          <w:i/>
          <w:iCs/>
        </w:rPr>
        <w:t xml:space="preserve">Sentinel-3 OLCI L2 Report for Baseline Collection OL_L2M_003</w:t>
      </w:r>
      <w:r>
        <w:t xml:space="preserve">. EUM/RSP/REP/21/1211386. EUMETSAT.</w:t>
      </w:r>
      <w:r>
        <w:t xml:space="preserve"> </w:t>
      </w:r>
      <w:hyperlink r:id="rId293">
        <w:r>
          <w:rPr>
            <w:rStyle w:val="Hyperlink"/>
          </w:rPr>
          <w:t xml:space="preserve">https://user.eumetsat.int/s3/eup-strapi-media/Sentinel_3_OLCI_L2_report_for_baseline_collection_OL_L2_M_003_2_B_c8bbc6d986.pdf</w:t>
        </w:r>
      </w:hyperlink>
      <w:r>
        <w:t xml:space="preserve">.</w:t>
      </w:r>
    </w:p>
    <w:bookmarkEnd w:id="294"/>
    <w:bookmarkStart w:id="296" w:name="ref-fan2016"/>
    <w:p>
      <w:pPr>
        <w:pStyle w:val="Literaturverzeichnis"/>
      </w:pPr>
      <w:r>
        <w:t xml:space="preserve">Fan, Yongzhen, Wei Li, Kenneth J. Voss, Charles K. Gatebe, and Knut Stamnes. 2016.</w:t>
      </w:r>
      <w:r>
        <w:t xml:space="preserve"> </w:t>
      </w:r>
      <w:r>
        <w:t xml:space="preserve">“Neural Network Method to Correct Bidirectional Effects in Water-Leaving Radiance.”</w:t>
      </w:r>
      <w:r>
        <w:t xml:space="preserve"> </w:t>
      </w:r>
      <w:r>
        <w:rPr>
          <w:i/>
          <w:iCs/>
        </w:rPr>
        <w:t xml:space="preserve">Appl. Opt.</w:t>
      </w:r>
      <w:r>
        <w:t xml:space="preserve"> </w:t>
      </w:r>
      <w:r>
        <w:t xml:space="preserve">55 (1): 10–21.</w:t>
      </w:r>
      <w:r>
        <w:t xml:space="preserve"> </w:t>
      </w:r>
      <w:hyperlink r:id="rId295">
        <w:r>
          <w:rPr>
            <w:rStyle w:val="Hyperlink"/>
          </w:rPr>
          <w:t xml:space="preserve">https://doi.org/10.1364/AO.55.000010</w:t>
        </w:r>
      </w:hyperlink>
      <w:r>
        <w:t xml:space="preserve">.</w:t>
      </w:r>
    </w:p>
    <w:bookmarkEnd w:id="296"/>
    <w:bookmarkStart w:id="298" w:name="ref-fink2014"/>
    <w:p>
      <w:pPr>
        <w:pStyle w:val="Literaturverzeichnis"/>
      </w:pPr>
      <w:r>
        <w:t xml:space="preserve">Fink, Colin M. 2014.</w:t>
      </w:r>
      <w:r>
        <w:t xml:space="preserve"> </w:t>
      </w:r>
      <w:r>
        <w:t xml:space="preserve">“Glint Avoidance and Removal in the Maritime Environment.”</w:t>
      </w:r>
      <w:r>
        <w:t xml:space="preserve"> </w:t>
      </w:r>
      <w:r>
        <w:t xml:space="preserve">Master's Thesis, Rochester Institute of Technology.</w:t>
      </w:r>
      <w:r>
        <w:t xml:space="preserve"> </w:t>
      </w:r>
      <w:hyperlink r:id="rId297">
        <w:r>
          <w:rPr>
            <w:rStyle w:val="Hyperlink"/>
          </w:rPr>
          <w:t xml:space="preserve">https://repository.rit.edu/theses/8301</w:t>
        </w:r>
      </w:hyperlink>
      <w:r>
        <w:t xml:space="preserve">.</w:t>
      </w:r>
    </w:p>
    <w:bookmarkEnd w:id="298"/>
    <w:bookmarkStart w:id="300" w:name="ref-foga2017"/>
    <w:p>
      <w:pPr>
        <w:pStyle w:val="Literaturverzeichnis"/>
      </w:pPr>
      <w:r>
        <w:t xml:space="preserve">Foga, Steve, Pat L. Scaramuzza, Song Guo, et al. 2017.</w:t>
      </w:r>
      <w:r>
        <w:t xml:space="preserve"> </w:t>
      </w:r>
      <w:r>
        <w:t xml:space="preserve">“Cloud Detection Algorithm Comparison and Validation for Operational Landsat Data Products.”</w:t>
      </w:r>
      <w:r>
        <w:t xml:space="preserve"> </w:t>
      </w:r>
      <w:r>
        <w:rPr>
          <w:i/>
          <w:iCs/>
        </w:rPr>
        <w:t xml:space="preserve">Remote Sensing of Environment</w:t>
      </w:r>
      <w:r>
        <w:t xml:space="preserve"> </w:t>
      </w:r>
      <w:r>
        <w:t xml:space="preserve">194: 379–90. https://doi.org/</w:t>
      </w:r>
      <w:hyperlink r:id="rId299">
        <w:r>
          <w:rPr>
            <w:rStyle w:val="Hyperlink"/>
          </w:rPr>
          <w:t xml:space="preserve">https://doi.org/10.1016/j.rse.2017.03.026</w:t>
        </w:r>
      </w:hyperlink>
      <w:r>
        <w:t xml:space="preserve">.</w:t>
      </w:r>
    </w:p>
    <w:bookmarkEnd w:id="300"/>
    <w:bookmarkStart w:id="302" w:name="ref-frouin2019"/>
    <w:p>
      <w:pPr>
        <w:pStyle w:val="Literaturverzeichnis"/>
      </w:pPr>
      <w:r>
        <w:t xml:space="preserve">Frouin, Robert J., Bryan A. Franz, Amir Ibrahim, et al. 2019.</w:t>
      </w:r>
      <w:r>
        <w:t xml:space="preserve"> </w:t>
      </w:r>
      <w:r>
        <w:t xml:space="preserve">“Atmospheric Correction of Satellite Ocean-Color Imagery During the PACE Era.”</w:t>
      </w:r>
      <w:r>
        <w:t xml:space="preserve"> </w:t>
      </w:r>
      <w:r>
        <w:rPr>
          <w:i/>
          <w:iCs/>
        </w:rPr>
        <w:t xml:space="preserve">Frontiers in Earth Science</w:t>
      </w:r>
      <w:r>
        <w:t xml:space="preserve"> </w:t>
      </w:r>
      <w:r>
        <w:t xml:space="preserve">Volume 7 - 2019.</w:t>
      </w:r>
      <w:r>
        <w:t xml:space="preserve"> </w:t>
      </w:r>
      <w:hyperlink r:id="rId301">
        <w:r>
          <w:rPr>
            <w:rStyle w:val="Hyperlink"/>
          </w:rPr>
          <w:t xml:space="preserve">https://doi.org/10.3389/feart.2019.00145</w:t>
        </w:r>
      </w:hyperlink>
      <w:r>
        <w:t xml:space="preserve">.</w:t>
      </w:r>
    </w:p>
    <w:bookmarkEnd w:id="302"/>
    <w:bookmarkStart w:id="304" w:name="ref-gebco2024"/>
    <w:p>
      <w:pPr>
        <w:pStyle w:val="Literaturverzeichnis"/>
      </w:pPr>
      <w:r>
        <w:t xml:space="preserve">GEBCO Bathymetric Compilation Group 2024. 2024.</w:t>
      </w:r>
      <w:r>
        <w:t xml:space="preserve"> </w:t>
      </w:r>
      <w:r>
        <w:rPr>
          <w:i/>
          <w:iCs/>
        </w:rPr>
        <w:t xml:space="preserve">The GEBCO_2024 Grid - a Continuous Terrain Model of the Global Oceans and Land</w:t>
      </w:r>
      <w:r>
        <w:t xml:space="preserve">. GEBCO Compilation Group.</w:t>
      </w:r>
      <w:r>
        <w:t xml:space="preserve"> </w:t>
      </w:r>
      <w:hyperlink r:id="rId303">
        <w:r>
          <w:rPr>
            <w:rStyle w:val="Hyperlink"/>
          </w:rPr>
          <w:t xml:space="preserve">https://doi.org/10.5285/1c44ce99-0a0d-5f4f-e063-7086abc0ea0f</w:t>
        </w:r>
      </w:hyperlink>
      <w:r>
        <w:t xml:space="preserve">.</w:t>
      </w:r>
    </w:p>
    <w:bookmarkEnd w:id="304"/>
    <w:bookmarkStart w:id="305" w:name="ref-gege2016"/>
    <w:p>
      <w:pPr>
        <w:pStyle w:val="Literaturverzeichnis"/>
      </w:pPr>
      <w:r>
        <w:t xml:space="preserve">Gege, Peter, and Philipp Groetsch. 2016.</w:t>
      </w:r>
      <w:r>
        <w:t xml:space="preserve"> </w:t>
      </w:r>
      <w:r>
        <w:t xml:space="preserve">“A Spectral Model for Correcting Sunglint and Skyglint.”</w:t>
      </w:r>
      <w:r>
        <w:t xml:space="preserve"> </w:t>
      </w:r>
      <w:r>
        <w:t xml:space="preserve">October.</w:t>
      </w:r>
    </w:p>
    <w:bookmarkEnd w:id="305"/>
    <w:bookmarkStart w:id="307" w:name="ref-gendall2023"/>
    <w:p>
      <w:pPr>
        <w:pStyle w:val="Literaturverzeichnis"/>
      </w:pPr>
      <w:r>
        <w:t xml:space="preserve">Gendall, Lianna, Sarah B. Schroeder, Peter Wills, Margot Hessing-Lewis, and Maycira Costa. 2023.</w:t>
      </w:r>
      <w:r>
        <w:t xml:space="preserve"> </w:t>
      </w:r>
      <w:r>
        <w:t xml:space="preserve">“A Multi-Satellite Mapping Framework for Floating Kelp Forests.”</w:t>
      </w:r>
      <w:r>
        <w:t xml:space="preserve"> </w:t>
      </w:r>
      <w:r>
        <w:rPr>
          <w:i/>
          <w:iCs/>
        </w:rPr>
        <w:t xml:space="preserve">Remote Sensing</w:t>
      </w:r>
      <w:r>
        <w:t xml:space="preserve"> </w:t>
      </w:r>
      <w:r>
        <w:t xml:space="preserve">15 (5).</w:t>
      </w:r>
      <w:r>
        <w:t xml:space="preserve"> </w:t>
      </w:r>
      <w:hyperlink r:id="rId306">
        <w:r>
          <w:rPr>
            <w:rStyle w:val="Hyperlink"/>
          </w:rPr>
          <w:t xml:space="preserve">https://doi.org/10.3390/rs15051276</w:t>
        </w:r>
      </w:hyperlink>
      <w:r>
        <w:t xml:space="preserve">.</w:t>
      </w:r>
    </w:p>
    <w:bookmarkEnd w:id="307"/>
    <w:bookmarkStart w:id="309" w:name="ref-gossn2019"/>
    <w:p>
      <w:pPr>
        <w:pStyle w:val="Literaturverzeichnis"/>
      </w:pPr>
      <w:r>
        <w:t xml:space="preserve">Gossn, Juan Ignacio, Kevin George Ruddick, and Ana Inés Dogliotti. 2019.</w:t>
      </w:r>
      <w:r>
        <w:t xml:space="preserve"> </w:t>
      </w:r>
      <w:r>
        <w:t xml:space="preserve">“Atmospheric Correction of OLCI Imagery over Extremely Turbid Waters Based on the Red, NIR and 1016 Nm Bands and a New Baseline Residual Technique.”</w:t>
      </w:r>
      <w:r>
        <w:t xml:space="preserve"> </w:t>
      </w:r>
      <w:r>
        <w:rPr>
          <w:i/>
          <w:iCs/>
        </w:rPr>
        <w:t xml:space="preserve">Remote Sensing</w:t>
      </w:r>
      <w:r>
        <w:t xml:space="preserve"> </w:t>
      </w:r>
      <w:r>
        <w:t xml:space="preserve">11 (3).</w:t>
      </w:r>
      <w:r>
        <w:t xml:space="preserve"> </w:t>
      </w:r>
      <w:hyperlink r:id="rId308">
        <w:r>
          <w:rPr>
            <w:rStyle w:val="Hyperlink"/>
          </w:rPr>
          <w:t xml:space="preserve">https://doi.org/10.3390/rs11030220</w:t>
        </w:r>
      </w:hyperlink>
      <w:r>
        <w:t xml:space="preserve">.</w:t>
      </w:r>
    </w:p>
    <w:bookmarkEnd w:id="309"/>
    <w:bookmarkStart w:id="311" w:name="ref-groetsch2020"/>
    <w:p>
      <w:pPr>
        <w:pStyle w:val="Literaturverzeichnis"/>
      </w:pPr>
      <w:r>
        <w:t xml:space="preserve">Groetsch, Philipp M. M., Robert Foster, and Alexander Gilerson. 2020.</w:t>
      </w:r>
      <w:r>
        <w:t xml:space="preserve"> </w:t>
      </w:r>
      <w:r>
        <w:t xml:space="preserve">“Exploring the Limits for Sky and Sun Glint Correction of Hyperspectral Above-Surface Reflectance Observations.”</w:t>
      </w:r>
      <w:r>
        <w:t xml:space="preserve"> </w:t>
      </w:r>
      <w:r>
        <w:rPr>
          <w:i/>
          <w:iCs/>
        </w:rPr>
        <w:t xml:space="preserve">Appl. Opt.</w:t>
      </w:r>
      <w:r>
        <w:t xml:space="preserve"> </w:t>
      </w:r>
      <w:r>
        <w:t xml:space="preserve">59 (9): 2942–54.</w:t>
      </w:r>
      <w:r>
        <w:t xml:space="preserve"> </w:t>
      </w:r>
      <w:hyperlink r:id="rId310">
        <w:r>
          <w:rPr>
            <w:rStyle w:val="Hyperlink"/>
          </w:rPr>
          <w:t xml:space="preserve">https://doi.org/10.1364/AO.385853</w:t>
        </w:r>
      </w:hyperlink>
      <w:r>
        <w:t xml:space="preserve">.</w:t>
      </w:r>
    </w:p>
    <w:bookmarkEnd w:id="311"/>
    <w:bookmarkStart w:id="313" w:name="ref-guth2021"/>
    <w:p>
      <w:pPr>
        <w:pStyle w:val="Literaturverzeichnis"/>
      </w:pPr>
      <w:r>
        <w:t xml:space="preserve">Guth, Peter L., Adriaan Van Niekerk, Carlos H. Grohmann, et al. 2021.</w:t>
      </w:r>
      <w:r>
        <w:t xml:space="preserve"> </w:t>
      </w:r>
      <w:r>
        <w:t xml:space="preserve">“Digital Elevation Models: Terminology and Definitions.”</w:t>
      </w:r>
      <w:r>
        <w:t xml:space="preserve"> </w:t>
      </w:r>
      <w:r>
        <w:rPr>
          <w:i/>
          <w:iCs/>
        </w:rPr>
        <w:t xml:space="preserve">Remote Sensing</w:t>
      </w:r>
      <w:r>
        <w:t xml:space="preserve"> </w:t>
      </w:r>
      <w:r>
        <w:t xml:space="preserve">13 (18).</w:t>
      </w:r>
      <w:r>
        <w:t xml:space="preserve"> </w:t>
      </w:r>
      <w:hyperlink r:id="rId312">
        <w:r>
          <w:rPr>
            <w:rStyle w:val="Hyperlink"/>
          </w:rPr>
          <w:t xml:space="preserve">https://doi.org/10.3390/rs13183581</w:t>
        </w:r>
      </w:hyperlink>
      <w:r>
        <w:t xml:space="preserve">.</w:t>
      </w:r>
    </w:p>
    <w:bookmarkEnd w:id="313"/>
    <w:bookmarkStart w:id="315" w:name="ref-harmel2018"/>
    <w:p>
      <w:pPr>
        <w:pStyle w:val="Literaturverzeichnis"/>
      </w:pPr>
      <w:r>
        <w:t xml:space="preserve">Harmel, Tristan, Malik Chami, Thierry Tormos, Nathalie Reynaud, and Pierre-Alain Danis. 2018.</w:t>
      </w:r>
      <w:r>
        <w:t xml:space="preserve"> </w:t>
      </w:r>
      <w:r>
        <w:t xml:space="preserve">“Sunglint Correction of the Multi-Spectral Instrument (MSI)-SENTINEL-2 Imagery over Inland and Sea Waters from SWIR Bands.”</w:t>
      </w:r>
      <w:r>
        <w:t xml:space="preserve"> </w:t>
      </w:r>
      <w:r>
        <w:rPr>
          <w:i/>
          <w:iCs/>
        </w:rPr>
        <w:t xml:space="preserve">Remote Sensing of Environment</w:t>
      </w:r>
      <w:r>
        <w:t xml:space="preserve"> </w:t>
      </w:r>
      <w:r>
        <w:t xml:space="preserve">204: 308–21. https://doi.org/</w:t>
      </w:r>
      <w:hyperlink r:id="rId314">
        <w:r>
          <w:rPr>
            <w:rStyle w:val="Hyperlink"/>
          </w:rPr>
          <w:t xml:space="preserve">https://doi.org/10.1016/j.rse.2017.10.022</w:t>
        </w:r>
      </w:hyperlink>
      <w:r>
        <w:t xml:space="preserve">.</w:t>
      </w:r>
    </w:p>
    <w:bookmarkEnd w:id="315"/>
    <w:bookmarkStart w:id="317" w:name="ref-hartmann2022"/>
    <w:p>
      <w:pPr>
        <w:pStyle w:val="Literaturverzeichnis"/>
      </w:pPr>
      <w:r>
        <w:t xml:space="preserve">Hartmann, Knut, Mona Reithmeier, Kim Knauer, Julian Wenzel, Christoph Kleih, and Thomas Heege. 2022.</w:t>
      </w:r>
      <w:r>
        <w:t xml:space="preserve"> </w:t>
      </w:r>
      <w:r>
        <w:t xml:space="preserve">“SATELLITE-DERIVED BATHYMETRY ONLINE.”</w:t>
      </w:r>
      <w:r>
        <w:t xml:space="preserve"> </w:t>
      </w:r>
      <w:r>
        <w:rPr>
          <w:i/>
          <w:iCs/>
        </w:rPr>
        <w:t xml:space="preserve">The International Hydrographic Review</w:t>
      </w:r>
      <w:r>
        <w:t xml:space="preserve"> </w:t>
      </w:r>
      <w:r>
        <w:t xml:space="preserve">28: 53–75. https://doi.org/</w:t>
      </w:r>
      <w:hyperlink r:id="rId316">
        <w:r>
          <w:rPr>
            <w:rStyle w:val="Hyperlink"/>
          </w:rPr>
          <w:t xml:space="preserve">https://doi.org/10.58440/ihr-28-a14</w:t>
        </w:r>
        <w:r>
          <w:rPr>
            <w:rStyle w:val="Hyperlink"/>
          </w:rPr>
          <w:t xml:space="preserve"> </w:t>
        </w:r>
      </w:hyperlink>
      <w:r>
        <w:t xml:space="preserve">.</w:t>
      </w:r>
    </w:p>
    <w:bookmarkEnd w:id="317"/>
    <w:bookmarkStart w:id="319" w:name="ref-heinila2018"/>
    <w:p>
      <w:pPr>
        <w:pStyle w:val="Literaturverzeichnis"/>
      </w:pPr>
      <w:r>
        <w:t xml:space="preserve">Heinilä, Kirsikka and Metsämäki, Sari and Mattila, Olli-Pekka. 2018.</w:t>
      </w:r>
      <w:r>
        <w:t xml:space="preserve"> </w:t>
      </w:r>
      <w:r>
        <w:rPr>
          <w:i/>
          <w:iCs/>
        </w:rPr>
        <w:t xml:space="preserve">Lake Ice Extent (LIE), Collection 250m Baltic Sea Region, Version 1.0.1</w:t>
      </w:r>
      <w:r>
        <w:t xml:space="preserve">. Copernicus Global Land Service.</w:t>
      </w:r>
      <w:r>
        <w:t xml:space="preserve"> </w:t>
      </w:r>
      <w:hyperlink r:id="rId318">
        <w:r>
          <w:rPr>
            <w:rStyle w:val="Hyperlink"/>
          </w:rPr>
          <w:t xml:space="preserve">https://land.copernicus.eu/en/technical-library/quality-assessment-report-for-lake-ice-extent-baltic-sea-region-250-m-raster/@@download/file</w:t>
        </w:r>
      </w:hyperlink>
      <w:r>
        <w:t xml:space="preserve">.</w:t>
      </w:r>
    </w:p>
    <w:bookmarkEnd w:id="319"/>
    <w:bookmarkStart w:id="320" w:name="ref-hooker2003"/>
    <w:p>
      <w:pPr>
        <w:pStyle w:val="Literaturverzeichnis"/>
      </w:pPr>
      <w:r>
        <w:t xml:space="preserve">Hooker, Stanford, Elaine Firestone, et al. 2003.</w:t>
      </w:r>
      <w:r>
        <w:t xml:space="preserve"> </w:t>
      </w:r>
      <w:r>
        <w:rPr>
          <w:i/>
          <w:iCs/>
        </w:rPr>
        <w:t xml:space="preserve">Algorithm Updates for the Fourth SeaWiFS Data Reprocessing</w:t>
      </w:r>
      <w:r>
        <w:t xml:space="preserve">. June.</w:t>
      </w:r>
    </w:p>
    <w:bookmarkEnd w:id="320"/>
    <w:bookmarkStart w:id="322" w:name="ref-hu2009"/>
    <w:p>
      <w:pPr>
        <w:pStyle w:val="Literaturverzeichnis"/>
      </w:pPr>
      <w:r>
        <w:t xml:space="preserve">Hu, Chuanmin. 2009.</w:t>
      </w:r>
      <w:r>
        <w:t xml:space="preserve"> </w:t>
      </w:r>
      <w:r>
        <w:t xml:space="preserve">“A Novel Ocean Color Index to Detect Floating Algae in the Global Oceans.”</w:t>
      </w:r>
      <w:r>
        <w:t xml:space="preserve"> </w:t>
      </w:r>
      <w:r>
        <w:rPr>
          <w:i/>
          <w:iCs/>
        </w:rPr>
        <w:t xml:space="preserve">Remote Sensing of Environment</w:t>
      </w:r>
      <w:r>
        <w:t xml:space="preserve"> </w:t>
      </w:r>
      <w:r>
        <w:t xml:space="preserve">113 (10): 2118–29. https://doi.org/</w:t>
      </w:r>
      <w:hyperlink r:id="rId321">
        <w:r>
          <w:rPr>
            <w:rStyle w:val="Hyperlink"/>
          </w:rPr>
          <w:t xml:space="preserve">https://doi.org/10.1016/j.rse.2009.05.012</w:t>
        </w:r>
      </w:hyperlink>
      <w:r>
        <w:t xml:space="preserve">.</w:t>
      </w:r>
    </w:p>
    <w:bookmarkEnd w:id="322"/>
    <w:bookmarkStart w:id="324" w:name="ref-hudson2016"/>
    <w:p>
      <w:pPr>
        <w:pStyle w:val="Literaturverzeichnis"/>
      </w:pPr>
      <w:r>
        <w:t xml:space="preserve">Hudson, Benjamin D., Irina Overeem, and James P. M. Syvitski. 2016.</w:t>
      </w:r>
      <w:r>
        <w:t xml:space="preserve"> </w:t>
      </w:r>
      <w:r>
        <w:t xml:space="preserve">“A Novel Technique to Detect Turbid Water and Mask Clouds in Greenland Fjords.”</w:t>
      </w:r>
      <w:r>
        <w:t xml:space="preserve"> </w:t>
      </w:r>
      <w:r>
        <w:rPr>
          <w:i/>
          <w:iCs/>
        </w:rPr>
        <w:t xml:space="preserve">International Journal of Remote Sensing</w:t>
      </w:r>
      <w:r>
        <w:t xml:space="preserve"> </w:t>
      </w:r>
      <w:r>
        <w:t xml:space="preserve">37 (7): 1730–46.</w:t>
      </w:r>
      <w:r>
        <w:t xml:space="preserve"> </w:t>
      </w:r>
      <w:hyperlink r:id="rId323">
        <w:r>
          <w:rPr>
            <w:rStyle w:val="Hyperlink"/>
          </w:rPr>
          <w:t xml:space="preserve">https://doi.org/10.1080/01431161.2016.1157641</w:t>
        </w:r>
      </w:hyperlink>
      <w:r>
        <w:t xml:space="preserve">.</w:t>
      </w:r>
    </w:p>
    <w:bookmarkEnd w:id="324"/>
    <w:bookmarkStart w:id="326" w:name="ref-iho2024"/>
    <w:p>
      <w:pPr>
        <w:pStyle w:val="Literaturverzeichnis"/>
      </w:pPr>
      <w:r>
        <w:t xml:space="preserve">IHO. 2024.</w:t>
      </w:r>
      <w:r>
        <w:t xml:space="preserve"> </w:t>
      </w:r>
      <w:r>
        <w:rPr>
          <w:i/>
          <w:iCs/>
        </w:rPr>
        <w:t xml:space="preserve">Guidance to Satellite-Derived Bathymetry</w:t>
      </w:r>
      <w:r>
        <w:t xml:space="preserve">. B-13 Edition 1.0.0. International Hydrographic Organization (IHO).</w:t>
      </w:r>
      <w:r>
        <w:t xml:space="preserve"> </w:t>
      </w:r>
      <w:hyperlink r:id="rId325">
        <w:r>
          <w:rPr>
            <w:rStyle w:val="Hyperlink"/>
          </w:rPr>
          <w:t xml:space="preserve">https://iho.int/uploads/user/pubs/bathy/B_13_Ed100_032024.pdf</w:t>
        </w:r>
      </w:hyperlink>
      <w:r>
        <w:t xml:space="preserve">.</w:t>
      </w:r>
    </w:p>
    <w:bookmarkEnd w:id="326"/>
    <w:bookmarkStart w:id="328" w:name="ref-ilori2019"/>
    <w:p>
      <w:pPr>
        <w:pStyle w:val="Literaturverzeichnis"/>
      </w:pPr>
      <w:r>
        <w:t xml:space="preserve">Ilori, Christopher O., Nima Pahlevan, and Anders Knudby. 2019.</w:t>
      </w:r>
      <w:r>
        <w:t xml:space="preserve"> </w:t>
      </w:r>
      <w:r>
        <w:t xml:space="preserve">“Analyzing Performances of Different Atmospheric Correction Techniques for Landsat 8: Application for Coastal Remote Sensing.”</w:t>
      </w:r>
      <w:r>
        <w:t xml:space="preserve"> </w:t>
      </w:r>
      <w:r>
        <w:rPr>
          <w:i/>
          <w:iCs/>
        </w:rPr>
        <w:t xml:space="preserve">Remote Sensing</w:t>
      </w:r>
      <w:r>
        <w:t xml:space="preserve"> </w:t>
      </w:r>
      <w:r>
        <w:t xml:space="preserve">11 (4).</w:t>
      </w:r>
      <w:r>
        <w:t xml:space="preserve"> </w:t>
      </w:r>
      <w:hyperlink r:id="rId327">
        <w:r>
          <w:rPr>
            <w:rStyle w:val="Hyperlink"/>
          </w:rPr>
          <w:t xml:space="preserve">https://doi.org/10.3390/rs11040469</w:t>
        </w:r>
      </w:hyperlink>
      <w:r>
        <w:t xml:space="preserve">.</w:t>
      </w:r>
    </w:p>
    <w:bookmarkEnd w:id="328"/>
    <w:bookmarkStart w:id="329"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329"/>
    <w:bookmarkStart w:id="330"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330"/>
    <w:bookmarkStart w:id="332" w:name="ref-gum_6_2020"/>
    <w:p>
      <w:pPr>
        <w:pStyle w:val="Literaturverzeichnis"/>
      </w:pPr>
      <w:r>
        <w:t xml:space="preserve">JCGM Working Group 1. 2020.</w:t>
      </w:r>
      <w:r>
        <w:t xml:space="preserve"> </w:t>
      </w:r>
      <w:r>
        <w:rPr>
          <w:i/>
          <w:iCs/>
        </w:rPr>
        <w:t xml:space="preserve">G</w:t>
      </w:r>
      <w:r>
        <w:rPr>
          <w:i/>
          <w:iCs/>
        </w:rPr>
        <w:t xml:space="preserve">uide to the Expression of Uncertainty in Measurement — Part 6: Developing and Using Measurement Models</w:t>
      </w:r>
      <w:r>
        <w:t xml:space="preserve">. Norm.</w:t>
      </w:r>
      <w:r>
        <w:t xml:space="preserve"> </w:t>
      </w:r>
      <w:r>
        <w:t xml:space="preserve">Joint Committee for Guides in Metrology</w:t>
      </w:r>
      <w:r>
        <w:t xml:space="preserve">; Joint Committee for Guides in Metrology, JCGM GUM-6:2020.</w:t>
      </w:r>
      <w:r>
        <w:t xml:space="preserve"> </w:t>
      </w:r>
      <w:hyperlink r:id="rId331">
        <w:r>
          <w:rPr>
            <w:rStyle w:val="Hyperlink"/>
          </w:rPr>
          <w:t xml:space="preserve">https://www.bipm.org/documents/20126/2071204/JCGM_GUM_6_2020.pdf</w:t>
        </w:r>
      </w:hyperlink>
      <w:r>
        <w:t xml:space="preserve">.</w:t>
      </w:r>
    </w:p>
    <w:bookmarkEnd w:id="332"/>
    <w:bookmarkStart w:id="334" w:name="ref-jones2019"/>
    <w:p>
      <w:pPr>
        <w:pStyle w:val="Literaturverzeichnis"/>
      </w:pPr>
      <w:r>
        <w:t xml:space="preserve">Jones, John W. 2019.</w:t>
      </w:r>
      <w:r>
        <w:t xml:space="preserve"> </w:t>
      </w:r>
      <w:r>
        <w:t xml:space="preserve">“Improved Automated Detection of Subpixel-Scale Inundation—Revised Dynamic Surface Water Extent (DSWE) Partial Surface Water Tests.”</w:t>
      </w:r>
      <w:r>
        <w:t xml:space="preserve"> </w:t>
      </w:r>
      <w:r>
        <w:rPr>
          <w:i/>
          <w:iCs/>
        </w:rPr>
        <w:t xml:space="preserve">Remote Sensing</w:t>
      </w:r>
      <w:r>
        <w:t xml:space="preserve"> </w:t>
      </w:r>
      <w:r>
        <w:t xml:space="preserve">11 (4).</w:t>
      </w:r>
      <w:r>
        <w:t xml:space="preserve"> </w:t>
      </w:r>
      <w:hyperlink r:id="rId333">
        <w:r>
          <w:rPr>
            <w:rStyle w:val="Hyperlink"/>
          </w:rPr>
          <w:t xml:space="preserve">https://doi.org/10.3390/rs11040374</w:t>
        </w:r>
      </w:hyperlink>
      <w:r>
        <w:t xml:space="preserve">.</w:t>
      </w:r>
    </w:p>
    <w:bookmarkEnd w:id="334"/>
    <w:bookmarkStart w:id="336" w:name="ref-kay2009"/>
    <w:p>
      <w:pPr>
        <w:pStyle w:val="Literaturverzeichnis"/>
      </w:pPr>
      <w:r>
        <w:t xml:space="preserve">Kay, Susan, John D. Hedley, and Samantha Lavender. 2009.</w:t>
      </w:r>
      <w:r>
        <w:t xml:space="preserve"> </w:t>
      </w:r>
      <w:r>
        <w:t xml:space="preserve">“Sun Glint Correction of High and Low Spatial Resolution Images of Aquatic Scenes: A Review of Methods for Visible and Near-Infrared Wavelengths.”</w:t>
      </w:r>
      <w:r>
        <w:t xml:space="preserve"> </w:t>
      </w:r>
      <w:r>
        <w:rPr>
          <w:i/>
          <w:iCs/>
        </w:rPr>
        <w:t xml:space="preserve">Remote Sensing</w:t>
      </w:r>
      <w:r>
        <w:t xml:space="preserve"> </w:t>
      </w:r>
      <w:r>
        <w:t xml:space="preserve">1 (4): 697–730.</w:t>
      </w:r>
      <w:r>
        <w:t xml:space="preserve"> </w:t>
      </w:r>
      <w:hyperlink r:id="rId335">
        <w:r>
          <w:rPr>
            <w:rStyle w:val="Hyperlink"/>
          </w:rPr>
          <w:t xml:space="preserve">https://doi.org/10.3390/rs1040697</w:t>
        </w:r>
      </w:hyperlink>
      <w:r>
        <w:t xml:space="preserve">.</w:t>
      </w:r>
    </w:p>
    <w:bookmarkEnd w:id="336"/>
    <w:bookmarkStart w:id="338" w:name="ref-kay2013"/>
    <w:p>
      <w:pPr>
        <w:pStyle w:val="Literaturverzeichnis"/>
      </w:pPr>
      <w:r>
        <w:t xml:space="preserve">Kay, Susan, John Hedley, and Samantha Lavender. 2013.</w:t>
      </w:r>
      <w:r>
        <w:t xml:space="preserve"> </w:t>
      </w:r>
      <w:r>
        <w:t xml:space="preserve">“Sun Glint Estimation in Marine Satellite Images: A Comparison of Results from Calculation and Radiative Transfer Modeling.”</w:t>
      </w:r>
      <w:r>
        <w:t xml:space="preserve"> </w:t>
      </w:r>
      <w:r>
        <w:rPr>
          <w:i/>
          <w:iCs/>
        </w:rPr>
        <w:t xml:space="preserve">Appl. Opt.</w:t>
      </w:r>
      <w:r>
        <w:t xml:space="preserve"> </w:t>
      </w:r>
      <w:r>
        <w:t xml:space="preserve">52 (23): 5631–39.</w:t>
      </w:r>
      <w:r>
        <w:t xml:space="preserve"> </w:t>
      </w:r>
      <w:hyperlink r:id="rId337">
        <w:r>
          <w:rPr>
            <w:rStyle w:val="Hyperlink"/>
          </w:rPr>
          <w:t xml:space="preserve">https://doi.org/10.1364/AO.52.005631</w:t>
        </w:r>
      </w:hyperlink>
      <w:r>
        <w:t xml:space="preserve">.</w:t>
      </w:r>
    </w:p>
    <w:bookmarkEnd w:id="338"/>
    <w:bookmarkStart w:id="340" w:name="ref-dekeukelaere2018"/>
    <w:p>
      <w:pPr>
        <w:pStyle w:val="Literaturverzeichnis"/>
      </w:pPr>
      <w:r>
        <w:t xml:space="preserve">Keukelaere, L. De, S. Sterckx, S. Adriaensen, et al. 2018.</w:t>
      </w:r>
      <w:r>
        <w:t xml:space="preserve"> </w:t>
      </w:r>
      <w:r>
        <w:t xml:space="preserve">“Atmospheric Correction of Landsat-8/OLI and Sentinel-2/MSI Data Using iCOR Algorithm: Validation for Coastal and Inland Waters.”</w:t>
      </w:r>
      <w:r>
        <w:t xml:space="preserve"> </w:t>
      </w:r>
      <w:r>
        <w:rPr>
          <w:i/>
          <w:iCs/>
        </w:rPr>
        <w:t xml:space="preserve">European Journal of Remote Sensing</w:t>
      </w:r>
      <w:r>
        <w:t xml:space="preserve"> </w:t>
      </w:r>
      <w:r>
        <w:t xml:space="preserve">51 (1): 525–42.</w:t>
      </w:r>
      <w:r>
        <w:t xml:space="preserve"> </w:t>
      </w:r>
      <w:hyperlink r:id="rId339">
        <w:r>
          <w:rPr>
            <w:rStyle w:val="Hyperlink"/>
          </w:rPr>
          <w:t xml:space="preserve">https://doi.org/10.1080/22797254.2018.1457937</w:t>
        </w:r>
      </w:hyperlink>
      <w:r>
        <w:t xml:space="preserve">.</w:t>
      </w:r>
    </w:p>
    <w:bookmarkEnd w:id="340"/>
    <w:bookmarkStart w:id="342" w:name="ref-khazaei2022"/>
    <w:p>
      <w:pPr>
        <w:pStyle w:val="Literaturverzeichnis"/>
      </w:pPr>
      <w:r>
        <w:t xml:space="preserve">Khazaei, Bahram, Laura Read, Matthew Casali, Kevin Sampson, and David Yates. 2022.</w:t>
      </w:r>
      <w:r>
        <w:t xml:space="preserve"> </w:t>
      </w:r>
      <w:r>
        <w:t xml:space="preserve">“GLOBathy, the Global Lakes Bathymetry Dataset.”</w:t>
      </w:r>
      <w:r>
        <w:t xml:space="preserve"> </w:t>
      </w:r>
      <w:r>
        <w:rPr>
          <w:i/>
          <w:iCs/>
        </w:rPr>
        <w:t xml:space="preserve">Scientific Data</w:t>
      </w:r>
      <w:r>
        <w:t xml:space="preserve"> </w:t>
      </w:r>
      <w:r>
        <w:t xml:space="preserve">9 (February).</w:t>
      </w:r>
      <w:r>
        <w:t xml:space="preserve"> </w:t>
      </w:r>
      <w:hyperlink r:id="rId341">
        <w:r>
          <w:rPr>
            <w:rStyle w:val="Hyperlink"/>
          </w:rPr>
          <w:t xml:space="preserve">https://doi.org/10.1038/s41597-022-01132-9</w:t>
        </w:r>
      </w:hyperlink>
      <w:r>
        <w:t xml:space="preserve">.</w:t>
      </w:r>
    </w:p>
    <w:bookmarkEnd w:id="342"/>
    <w:bookmarkStart w:id="344" w:name="ref-kim2024"/>
    <w:p>
      <w:pPr>
        <w:pStyle w:val="Literaturverzeichnis"/>
      </w:pPr>
      <w:r>
        <w:t xml:space="preserve">Kim, Minsu, Jeff Danielson, Curt Storlazzi, and Seonkyung Park. 2024.</w:t>
      </w:r>
      <w:r>
        <w:t xml:space="preserve"> </w:t>
      </w:r>
      <w:r>
        <w:t xml:space="preserve">“Physics-Based Satellite-Derived Bathymetry (SDB) Using Landsat OLI Images.”</w:t>
      </w:r>
      <w:r>
        <w:t xml:space="preserve"> </w:t>
      </w:r>
      <w:r>
        <w:rPr>
          <w:i/>
          <w:iCs/>
        </w:rPr>
        <w:t xml:space="preserve">Remote Sensing</w:t>
      </w:r>
      <w:r>
        <w:t xml:space="preserve"> </w:t>
      </w:r>
      <w:r>
        <w:t xml:space="preserve">16 (5).</w:t>
      </w:r>
      <w:r>
        <w:t xml:space="preserve"> </w:t>
      </w:r>
      <w:hyperlink r:id="rId343">
        <w:r>
          <w:rPr>
            <w:rStyle w:val="Hyperlink"/>
          </w:rPr>
          <w:t xml:space="preserve">https://doi.org/10.3390/rs16050843</w:t>
        </w:r>
      </w:hyperlink>
      <w:r>
        <w:t xml:space="preserve">.</w:t>
      </w:r>
    </w:p>
    <w:bookmarkEnd w:id="344"/>
    <w:bookmarkStart w:id="346" w:name="ref-kiselev2015"/>
    <w:p>
      <w:pPr>
        <w:pStyle w:val="Literaturverzeichnis"/>
      </w:pPr>
      <w:r>
        <w:t xml:space="preserve">Kiselev, Viacheslav, Barbara Bulgarelli, and Thomas Heege. 2015.</w:t>
      </w:r>
      <w:r>
        <w:t xml:space="preserve"> </w:t>
      </w:r>
      <w:r>
        <w:t xml:space="preserve">“Sensor Independent Adjacency Correction Algorithm for Coastal and Inland Water Systems.”</w:t>
      </w:r>
      <w:r>
        <w:t xml:space="preserve"> </w:t>
      </w:r>
      <w:r>
        <w:rPr>
          <w:i/>
          <w:iCs/>
        </w:rPr>
        <w:t xml:space="preserve">Remote Sensing of Environment</w:t>
      </w:r>
      <w:r>
        <w:t xml:space="preserve"> </w:t>
      </w:r>
      <w:r>
        <w:t xml:space="preserve">157: 85–95. https://doi.org/</w:t>
      </w:r>
      <w:hyperlink r:id="rId345">
        <w:r>
          <w:rPr>
            <w:rStyle w:val="Hyperlink"/>
          </w:rPr>
          <w:t xml:space="preserve">https://doi.org/10.1016/j.rse.2014.07.025</w:t>
        </w:r>
      </w:hyperlink>
      <w:r>
        <w:t xml:space="preserve">.</w:t>
      </w:r>
    </w:p>
    <w:bookmarkEnd w:id="346"/>
    <w:bookmarkStart w:id="348" w:name="ref-koepke1984"/>
    <w:p>
      <w:pPr>
        <w:pStyle w:val="Literaturverzeichnis"/>
      </w:pPr>
      <w:r>
        <w:t xml:space="preserve">Koepke, Peter. 1984.</w:t>
      </w:r>
      <w:r>
        <w:t xml:space="preserve"> </w:t>
      </w:r>
      <w:r>
        <w:t xml:space="preserve">“Effective Reflectance of Oceanic Whitecaps.”</w:t>
      </w:r>
      <w:r>
        <w:t xml:space="preserve"> </w:t>
      </w:r>
      <w:r>
        <w:rPr>
          <w:i/>
          <w:iCs/>
        </w:rPr>
        <w:t xml:space="preserve">Appl. Opt.</w:t>
      </w:r>
      <w:r>
        <w:t xml:space="preserve"> </w:t>
      </w:r>
      <w:r>
        <w:t xml:space="preserve">23 (11): 1816–24.</w:t>
      </w:r>
      <w:r>
        <w:t xml:space="preserve"> </w:t>
      </w:r>
      <w:hyperlink r:id="rId347">
        <w:r>
          <w:rPr>
            <w:rStyle w:val="Hyperlink"/>
          </w:rPr>
          <w:t xml:space="preserve">https://doi.org/10.1364/AO.23.001816</w:t>
        </w:r>
      </w:hyperlink>
      <w:r>
        <w:t xml:space="preserve">.</w:t>
      </w:r>
    </w:p>
    <w:bookmarkEnd w:id="348"/>
    <w:bookmarkStart w:id="350" w:name="ref-kutser2020"/>
    <w:p>
      <w:pPr>
        <w:pStyle w:val="Literaturverzeichnis"/>
      </w:pPr>
      <w:r>
        <w:t xml:space="preserve">Kutser, Tiit, John Hedley, Claudia Giardino, Chris Roelfsema, and Vittorio E. Brando. 2020.</w:t>
      </w:r>
      <w:r>
        <w:t xml:space="preserve"> </w:t>
      </w:r>
      <w:r>
        <w:t xml:space="preserve">“Remote Sensing of Shallow Waters – a 50 Year Retrospective and Future Directions.”</w:t>
      </w:r>
      <w:r>
        <w:t xml:space="preserve"> </w:t>
      </w:r>
      <w:r>
        <w:rPr>
          <w:i/>
          <w:iCs/>
        </w:rPr>
        <w:t xml:space="preserve">Remote Sensing of Environment</w:t>
      </w:r>
      <w:r>
        <w:t xml:space="preserve"> </w:t>
      </w:r>
      <w:r>
        <w:t xml:space="preserve">240: 111619. https://doi.org/</w:t>
      </w:r>
      <w:hyperlink r:id="rId349">
        <w:r>
          <w:rPr>
            <w:rStyle w:val="Hyperlink"/>
          </w:rPr>
          <w:t xml:space="preserve">https://doi.org/10.1016/j.rse.2019.111619</w:t>
        </w:r>
      </w:hyperlink>
      <w:r>
        <w:t xml:space="preserve">.</w:t>
      </w:r>
    </w:p>
    <w:bookmarkEnd w:id="350"/>
    <w:bookmarkStart w:id="352" w:name="ref-kutser2009"/>
    <w:p>
      <w:pPr>
        <w:pStyle w:val="Literaturverzeichnis"/>
      </w:pPr>
      <w:r>
        <w:t xml:space="preserve">Kutser, Tiit, Ele Vahtmäe, and Jaan Praks. 2009.</w:t>
      </w:r>
      <w:r>
        <w:t xml:space="preserve"> </w:t>
      </w:r>
      <w:r>
        <w:t xml:space="preserve">“A Sun Glint Correction Method for Hyperspectral Imagery Containing Areas with Non-Negligible Water Leaving NIR Signal.”</w:t>
      </w:r>
      <w:r>
        <w:t xml:space="preserve"> </w:t>
      </w:r>
      <w:r>
        <w:rPr>
          <w:i/>
          <w:iCs/>
        </w:rPr>
        <w:t xml:space="preserve">Remote Sensing of Environment</w:t>
      </w:r>
      <w:r>
        <w:t xml:space="preserve"> </w:t>
      </w:r>
      <w:r>
        <w:t xml:space="preserve">113 (10): 2267–74. https://doi.org/</w:t>
      </w:r>
      <w:hyperlink r:id="rId351">
        <w:r>
          <w:rPr>
            <w:rStyle w:val="Hyperlink"/>
          </w:rPr>
          <w:t xml:space="preserve">https://doi.org/10.1016/j.rse.2009.06.016</w:t>
        </w:r>
      </w:hyperlink>
      <w:r>
        <w:t xml:space="preserve">.</w:t>
      </w:r>
    </w:p>
    <w:bookmarkEnd w:id="352"/>
    <w:bookmarkStart w:id="354" w:name="ref-lavender2010whitecaps"/>
    <w:p>
      <w:pPr>
        <w:pStyle w:val="Literaturverzeichnis"/>
      </w:pPr>
      <w:r>
        <w:t xml:space="preserve">Lavender, S. 2010.</w:t>
      </w:r>
      <w:r>
        <w:t xml:space="preserve"> </w:t>
      </w:r>
      <w:r>
        <w:rPr>
          <w:i/>
          <w:iCs/>
        </w:rPr>
        <w:t xml:space="preserve">SENTINEL-3 Optical Products and Algorithm Definition – OLCI Level 2 ATBD: White Caps Correction</w:t>
      </w:r>
      <w:r>
        <w:t xml:space="preserve">. Algorithm Theoretical Basis Document S3-L2-SD-03-C06-ARG-ATBD. ARGANS.</w:t>
      </w:r>
      <w:r>
        <w:t xml:space="preserve"> </w:t>
      </w:r>
      <w:hyperlink r:id="rId353">
        <w:r>
          <w:rPr>
            <w:rStyle w:val="Hyperlink"/>
          </w:rPr>
          <w:t xml:space="preserve">https://user.eumetsat.int/s3/eup-strapi-media/pdf_s3_l2_atbd_white_caps_corr_ac4301c8fe.pdf</w:t>
        </w:r>
      </w:hyperlink>
      <w:r>
        <w:t xml:space="preserve">.</w:t>
      </w:r>
    </w:p>
    <w:bookmarkEnd w:id="354"/>
    <w:bookmarkStart w:id="356" w:name="ref-lavender2010glint"/>
    <w:p>
      <w:pPr>
        <w:pStyle w:val="Literaturverzeichnis"/>
      </w:pPr>
      <w:r>
        <w:t xml:space="preserve">Lavender, S., and S. Kay. 2010.</w:t>
      </w:r>
      <w:r>
        <w:t xml:space="preserve"> </w:t>
      </w:r>
      <w:r>
        <w:rPr>
          <w:i/>
          <w:iCs/>
        </w:rPr>
        <w:t xml:space="preserve">SENTINEL-3 OPTICAL PRODUCTS AND ALGORITHM DEFINITION – OLCI Level 2 ATBD – Glint Correction</w:t>
      </w:r>
      <w:r>
        <w:t xml:space="preserve">. Algorithm Theoretical Basis Document S3-L2-SD-03-C09-ARG-ATBD. ARGANS.</w:t>
      </w:r>
      <w:r>
        <w:t xml:space="preserve"> </w:t>
      </w:r>
      <w:hyperlink r:id="rId355">
        <w:r>
          <w:rPr>
            <w:rStyle w:val="Hyperlink"/>
          </w:rPr>
          <w:t xml:space="preserve">https://user.eumetsat.int/s3/eup-strapi-media/pdf_s3_l2_atbd_glint_corr_6d7b828eec.pdf</w:t>
        </w:r>
      </w:hyperlink>
      <w:r>
        <w:t xml:space="preserve">.</w:t>
      </w:r>
    </w:p>
    <w:bookmarkEnd w:id="356"/>
    <w:bookmarkStart w:id="358" w:name="ref-lee2011"/>
    <w:p>
      <w:pPr>
        <w:pStyle w:val="Literaturverzeichnis"/>
      </w:pPr>
      <w:r>
        <w:t xml:space="preserve">Lee, Zhong Ping, Keping Du, Kenneth J. Voss, et al. 2011.</w:t>
      </w:r>
      <w:r>
        <w:t xml:space="preserve"> </w:t>
      </w:r>
      <w:r>
        <w:t xml:space="preserve">“An Inherent-Optical-Property-Centered Approach to Correct the Angular Effects in Water-Leaving Radiance.”</w:t>
      </w:r>
      <w:r>
        <w:t xml:space="preserve"> </w:t>
      </w:r>
      <w:r>
        <w:rPr>
          <w:i/>
          <w:iCs/>
        </w:rPr>
        <w:t xml:space="preserve">Appl. Opt.</w:t>
      </w:r>
      <w:r>
        <w:t xml:space="preserve"> </w:t>
      </w:r>
      <w:r>
        <w:t xml:space="preserve">50 (19): 3155–67.</w:t>
      </w:r>
      <w:r>
        <w:t xml:space="preserve"> </w:t>
      </w:r>
      <w:hyperlink r:id="rId357">
        <w:r>
          <w:rPr>
            <w:rStyle w:val="Hyperlink"/>
          </w:rPr>
          <w:t xml:space="preserve">https://doi.org/10.1364/AO.50.003155</w:t>
        </w:r>
      </w:hyperlink>
      <w:r>
        <w:t xml:space="preserve">.</w:t>
      </w:r>
    </w:p>
    <w:bookmarkEnd w:id="358"/>
    <w:bookmarkStart w:id="359" w:name="ref-liu2019"/>
    <w:p>
      <w:pPr>
        <w:pStyle w:val="Literaturverzeichnis"/>
      </w:pPr>
      <w:r>
        <w:t xml:space="preserve">Liu, Yinghui, and Jeffrey Key. 2015.</w:t>
      </w:r>
      <w:r>
        <w:t xml:space="preserve"> </w:t>
      </w:r>
      <w:r>
        <w:rPr>
          <w:i/>
          <w:iCs/>
        </w:rPr>
        <w:t xml:space="preserve">Ice Surface Temperature, Ice Concentration, and Ice Cover Algorithm Theoretical Basic Document</w:t>
      </w:r>
      <w:r>
        <w:t xml:space="preserve">.</w:t>
      </w:r>
    </w:p>
    <w:bookmarkEnd w:id="359"/>
    <w:bookmarkStart w:id="361" w:name="ref-liu2016"/>
    <w:p>
      <w:pPr>
        <w:pStyle w:val="Literaturverzeichnis"/>
      </w:pPr>
      <w:r>
        <w:t xml:space="preserve">Liu, Yinghui, Jeffrey Key, and Robert Mahoney. 2016.</w:t>
      </w:r>
      <w:r>
        <w:t xml:space="preserve"> </w:t>
      </w:r>
      <w:r>
        <w:t xml:space="preserve">“Sea and Freshwater Ice Concentration from VIIRS on Suomi NPP and the Future JPSS Satellites.”</w:t>
      </w:r>
      <w:r>
        <w:t xml:space="preserve"> </w:t>
      </w:r>
      <w:r>
        <w:rPr>
          <w:i/>
          <w:iCs/>
        </w:rPr>
        <w:t xml:space="preserve">Remote Sensing</w:t>
      </w:r>
      <w:r>
        <w:t xml:space="preserve"> </w:t>
      </w:r>
      <w:r>
        <w:t xml:space="preserve">8 (6).</w:t>
      </w:r>
      <w:r>
        <w:t xml:space="preserve"> </w:t>
      </w:r>
      <w:hyperlink r:id="rId360">
        <w:r>
          <w:rPr>
            <w:rStyle w:val="Hyperlink"/>
          </w:rPr>
          <w:t xml:space="preserve">https://doi.org/10.3390/rs8060523</w:t>
        </w:r>
      </w:hyperlink>
      <w:r>
        <w:t xml:space="preserve">.</w:t>
      </w:r>
    </w:p>
    <w:bookmarkEnd w:id="361"/>
    <w:bookmarkStart w:id="363" w:name="ref-matthews2012"/>
    <w:p>
      <w:pPr>
        <w:pStyle w:val="Literaturverzeichnis"/>
      </w:pPr>
      <w:r>
        <w:t xml:space="preserve">Matthews, Mark William, Stewart Bernard, and Lisl Robertson. 2012.</w:t>
      </w:r>
      <w:r>
        <w:t xml:space="preserve"> </w:t>
      </w:r>
      <w:r>
        <w:t xml:space="preserve">“An Algorithm for Detecting Trophic Status (Chlorophyll-a), Cyanobacterial-Dominance, Surface Scums and Floating Vegetation in Inland and Coastal Waters.”</w:t>
      </w:r>
      <w:r>
        <w:t xml:space="preserve"> </w:t>
      </w:r>
      <w:r>
        <w:rPr>
          <w:i/>
          <w:iCs/>
        </w:rPr>
        <w:t xml:space="preserve">Remote Sensing of Environment</w:t>
      </w:r>
      <w:r>
        <w:t xml:space="preserve"> </w:t>
      </w:r>
      <w:r>
        <w:t xml:space="preserve">124: 637–52. https://doi.org/</w:t>
      </w:r>
      <w:hyperlink r:id="rId362">
        <w:r>
          <w:rPr>
            <w:rStyle w:val="Hyperlink"/>
          </w:rPr>
          <w:t xml:space="preserve">https://doi.org/10.1016/j.rse.2012.05.032</w:t>
        </w:r>
      </w:hyperlink>
      <w:r>
        <w:t xml:space="preserve">.</w:t>
      </w:r>
    </w:p>
    <w:bookmarkEnd w:id="363"/>
    <w:bookmarkStart w:id="365" w:name="ref-matthews2015"/>
    <w:p>
      <w:pPr>
        <w:pStyle w:val="Literaturverzeichnis"/>
      </w:pPr>
      <w:r>
        <w:t xml:space="preserve">Matthews, Mark William, and Daniel Odermatt. 2015.</w:t>
      </w:r>
      <w:r>
        <w:t xml:space="preserve"> </w:t>
      </w:r>
      <w:r>
        <w:t xml:space="preserve">“Improved Algorithm for Routine Monitoring of Cyanobacteria and Eutrophication in Inland and Near-Coastal Waters.”</w:t>
      </w:r>
      <w:r>
        <w:t xml:space="preserve"> </w:t>
      </w:r>
      <w:r>
        <w:rPr>
          <w:i/>
          <w:iCs/>
        </w:rPr>
        <w:t xml:space="preserve">Remote Sensing of Environment</w:t>
      </w:r>
      <w:r>
        <w:t xml:space="preserve"> </w:t>
      </w:r>
      <w:r>
        <w:t xml:space="preserve">156: 374–82. https://doi.org/</w:t>
      </w:r>
      <w:hyperlink r:id="rId364">
        <w:r>
          <w:rPr>
            <w:rStyle w:val="Hyperlink"/>
          </w:rPr>
          <w:t xml:space="preserve">https://doi.org/10.1016/j.rse.2014.10.010</w:t>
        </w:r>
      </w:hyperlink>
      <w:r>
        <w:t xml:space="preserve">.</w:t>
      </w:r>
    </w:p>
    <w:bookmarkEnd w:id="365"/>
    <w:bookmarkStart w:id="367" w:name="ref-mikelsons2021"/>
    <w:p>
      <w:pPr>
        <w:pStyle w:val="Literaturverzeichnis"/>
      </w:pPr>
      <w:r>
        <w:t xml:space="preserve">Mikelsons, Karlis, Menghua Wang, Xiao-Long Wang, and Lide Jiang. 2021.</w:t>
      </w:r>
      <w:r>
        <w:t xml:space="preserve"> </w:t>
      </w:r>
      <w:r>
        <w:t xml:space="preserve">“Global Land Mask for Satellite Ocean Color Remote Sensing.”</w:t>
      </w:r>
      <w:r>
        <w:t xml:space="preserve"> </w:t>
      </w:r>
      <w:r>
        <w:rPr>
          <w:i/>
          <w:iCs/>
        </w:rPr>
        <w:t xml:space="preserve">Remote Sensing of Environment</w:t>
      </w:r>
      <w:r>
        <w:t xml:space="preserve"> </w:t>
      </w:r>
      <w:r>
        <w:t xml:space="preserve">257: 112356. https://doi.org/</w:t>
      </w:r>
      <w:hyperlink r:id="rId366">
        <w:r>
          <w:rPr>
            <w:rStyle w:val="Hyperlink"/>
          </w:rPr>
          <w:t xml:space="preserve">https://doi.org/10.1016/j.rse.2021.112356</w:t>
        </w:r>
      </w:hyperlink>
      <w:r>
        <w:t xml:space="preserve">.</w:t>
      </w:r>
    </w:p>
    <w:bookmarkEnd w:id="367"/>
    <w:bookmarkStart w:id="369" w:name="ref-mobley2016"/>
    <w:p>
      <w:pPr>
        <w:pStyle w:val="Literaturverzeichnis"/>
      </w:pPr>
      <w:r>
        <w:t xml:space="preserve">Mobley, Curtis, Jeremy Werdell, Bryan Franz, Ziauddin Ahmad, and Sean Bailey. 2016.</w:t>
      </w:r>
      <w:r>
        <w:t xml:space="preserve"> </w:t>
      </w:r>
      <w:r>
        <w:rPr>
          <w:i/>
          <w:iCs/>
        </w:rPr>
        <w:t xml:space="preserve">Atmospheric Correction for Satellite Ocean Color Radiometry</w:t>
      </w:r>
      <w:r>
        <w:t xml:space="preserve">.</w:t>
      </w:r>
      <w:r>
        <w:t xml:space="preserve"> </w:t>
      </w:r>
      <w:hyperlink r:id="rId368">
        <w:r>
          <w:rPr>
            <w:rStyle w:val="Hyperlink"/>
          </w:rPr>
          <w:t xml:space="preserve">https://doi.org/10.13140/RG.2.2.23016.78081</w:t>
        </w:r>
      </w:hyperlink>
      <w:r>
        <w:t xml:space="preserve">.</w:t>
      </w:r>
    </w:p>
    <w:bookmarkEnd w:id="369"/>
    <w:bookmarkStart w:id="371" w:name="ref-moore1999"/>
    <w:p>
      <w:pPr>
        <w:pStyle w:val="Literaturverzeichnis"/>
      </w:pPr>
      <w:r>
        <w:t xml:space="preserve">Moore, G. F., J. Aiken, and S. J. Lavender. 1999.</w:t>
      </w:r>
      <w:r>
        <w:t xml:space="preserve"> </w:t>
      </w:r>
      <w:r>
        <w:t xml:space="preserve">“The Atmospheric Correction of Water Colour and the Quantitative Retrieval of Suspended Particulate Matter in Case II Waters: Application to MERIS.”</w:t>
      </w:r>
      <w:r>
        <w:t xml:space="preserve"> </w:t>
      </w:r>
      <w:r>
        <w:rPr>
          <w:i/>
          <w:iCs/>
        </w:rPr>
        <w:t xml:space="preserve">International Journal of Remote Sensing</w:t>
      </w:r>
      <w:r>
        <w:t xml:space="preserve"> </w:t>
      </w:r>
      <w:r>
        <w:t xml:space="preserve">20 (9): 1713–33.</w:t>
      </w:r>
      <w:r>
        <w:t xml:space="preserve"> </w:t>
      </w:r>
      <w:hyperlink r:id="rId370">
        <w:r>
          <w:rPr>
            <w:rStyle w:val="Hyperlink"/>
          </w:rPr>
          <w:t xml:space="preserve">https://doi.org/10.1080/014311699212434</w:t>
        </w:r>
      </w:hyperlink>
      <w:r>
        <w:t xml:space="preserve">.</w:t>
      </w:r>
    </w:p>
    <w:bookmarkEnd w:id="371"/>
    <w:bookmarkStart w:id="373" w:name="ref-moore2000"/>
    <w:p>
      <w:pPr>
        <w:pStyle w:val="Literaturverzeichnis"/>
      </w:pPr>
      <w:r>
        <w:t xml:space="preserve">Moore, Karl D., Kenneth J. Voss, and Howard R. Gordon. 2000.</w:t>
      </w:r>
      <w:r>
        <w:t xml:space="preserve"> </w:t>
      </w:r>
      <w:r>
        <w:t xml:space="preserve">“Spectral Reflectance of Whitecaps: Their Contribution to Water-Leaving Radiance.”</w:t>
      </w:r>
      <w:r>
        <w:t xml:space="preserve"> </w:t>
      </w:r>
      <w:r>
        <w:rPr>
          <w:i/>
          <w:iCs/>
        </w:rPr>
        <w:t xml:space="preserve">Journal of Geophysical Research: Oceans</w:t>
      </w:r>
      <w:r>
        <w:t xml:space="preserve"> </w:t>
      </w:r>
      <w:r>
        <w:t xml:space="preserve">105 (C3): 6493–99. https://doi.org/</w:t>
      </w:r>
      <w:hyperlink r:id="rId372">
        <w:r>
          <w:rPr>
            <w:rStyle w:val="Hyperlink"/>
          </w:rPr>
          <w:t xml:space="preserve">https://doi.org/10.1029/1999JC900334</w:t>
        </w:r>
      </w:hyperlink>
      <w:r>
        <w:t xml:space="preserve">.</w:t>
      </w:r>
    </w:p>
    <w:bookmarkEnd w:id="373"/>
    <w:bookmarkStart w:id="375" w:name="ref-morel2002"/>
    <w:p>
      <w:pPr>
        <w:pStyle w:val="Literaturverzeichnis"/>
      </w:pPr>
      <w:r>
        <w:t xml:space="preserve">Morel, André, David Antoine, and Bernard Gentili. 2002.</w:t>
      </w:r>
      <w:r>
        <w:t xml:space="preserve"> </w:t>
      </w:r>
      <w:r>
        <w:t xml:space="preserve">“Bidirectional Reflectance of Oceanic Waters: Accounting for Raman Emission and Varying Particle Scattering Phase Function.”</w:t>
      </w:r>
      <w:r>
        <w:t xml:space="preserve"> </w:t>
      </w:r>
      <w:r>
        <w:rPr>
          <w:i/>
          <w:iCs/>
        </w:rPr>
        <w:t xml:space="preserve">Appl. Opt.</w:t>
      </w:r>
      <w:r>
        <w:t xml:space="preserve"> </w:t>
      </w:r>
      <w:r>
        <w:t xml:space="preserve">41 (30): 6289–306.</w:t>
      </w:r>
      <w:r>
        <w:t xml:space="preserve"> </w:t>
      </w:r>
      <w:hyperlink r:id="rId374">
        <w:r>
          <w:rPr>
            <w:rStyle w:val="Hyperlink"/>
          </w:rPr>
          <w:t xml:space="preserve">https://doi.org/10.1364/AO.41.006289</w:t>
        </w:r>
      </w:hyperlink>
      <w:r>
        <w:t xml:space="preserve">.</w:t>
      </w:r>
    </w:p>
    <w:bookmarkEnd w:id="375"/>
    <w:bookmarkStart w:id="377" w:name="ref-morel2006"/>
    <w:p>
      <w:pPr>
        <w:pStyle w:val="Literaturverzeichnis"/>
      </w:pPr>
      <w:r>
        <w:t xml:space="preserve">Morel, Andre, and Simon Bélanger. 2006.</w:t>
      </w:r>
      <w:r>
        <w:t xml:space="preserve"> </w:t>
      </w:r>
      <w:r>
        <w:t xml:space="preserve">“Improved Detection of Turbid Waters from Ocean Color Sensors Information.”</w:t>
      </w:r>
      <w:r>
        <w:t xml:space="preserve"> </w:t>
      </w:r>
      <w:r>
        <w:rPr>
          <w:i/>
          <w:iCs/>
        </w:rPr>
        <w:t xml:space="preserve">Remote Sensing of Environment</w:t>
      </w:r>
      <w:r>
        <w:t xml:space="preserve"> </w:t>
      </w:r>
      <w:r>
        <w:t xml:space="preserve">102 (3): 237–49. https://doi.org/</w:t>
      </w:r>
      <w:hyperlink r:id="rId376">
        <w:r>
          <w:rPr>
            <w:rStyle w:val="Hyperlink"/>
          </w:rPr>
          <w:t xml:space="preserve">https://doi.org/10.1016/j.rse.2006.01.022</w:t>
        </w:r>
      </w:hyperlink>
      <w:r>
        <w:t xml:space="preserve">.</w:t>
      </w:r>
    </w:p>
    <w:bookmarkEnd w:id="377"/>
    <w:bookmarkStart w:id="379" w:name="ref-morel2008"/>
    <w:p>
      <w:pPr>
        <w:pStyle w:val="Literaturverzeichnis"/>
      </w:pPr>
      <w:r>
        <w:t xml:space="preserve">Morel, André, and Bernard Gentili. 2008.</w:t>
      </w:r>
      <w:r>
        <w:t xml:space="preserve"> </w:t>
      </w:r>
      <w:r>
        <w:t xml:space="preserve">“Practical Application of the</w:t>
      </w:r>
      <w:r>
        <w:t xml:space="preserve"> </w:t>
      </w:r>
      <w:r>
        <w:t xml:space="preserve">‘Turbid Water’</w:t>
      </w:r>
      <w:r>
        <w:t xml:space="preserve"> </w:t>
      </w:r>
      <w:r>
        <w:t xml:space="preserve">Flag in Ocean Color Imagery: Interference with Sun-Glint Contaminated Pixels in Open Ocean.”</w:t>
      </w:r>
      <w:r>
        <w:t xml:space="preserve"> </w:t>
      </w:r>
      <w:r>
        <w:rPr>
          <w:i/>
          <w:iCs/>
        </w:rPr>
        <w:t xml:space="preserve">Remote Sensing of Environment</w:t>
      </w:r>
      <w:r>
        <w:t xml:space="preserve"> </w:t>
      </w:r>
      <w:r>
        <w:t xml:space="preserve">112 (3): 934–38. https://doi.org/</w:t>
      </w:r>
      <w:hyperlink r:id="rId378">
        <w:r>
          <w:rPr>
            <w:rStyle w:val="Hyperlink"/>
          </w:rPr>
          <w:t xml:space="preserve">https://doi.org/10.1016/j.rse.2007.07.009</w:t>
        </w:r>
      </w:hyperlink>
      <w:r>
        <w:t xml:space="preserve">.</w:t>
      </w:r>
    </w:p>
    <w:bookmarkEnd w:id="379"/>
    <w:bookmarkStart w:id="381" w:name="ref-pahlevan2021"/>
    <w:p>
      <w:pPr>
        <w:pStyle w:val="Literaturverzeichnis"/>
      </w:pPr>
      <w:r>
        <w:t xml:space="preserve">Pahlevan, Nima, Antoine Mangin, Sundarabalan V. Balasubramanian, et al. 2021.</w:t>
      </w:r>
      <w:r>
        <w:t xml:space="preserve"> </w:t>
      </w:r>
      <w:r>
        <w:t xml:space="preserve">“ACIX-Aqua: A Global Assessment of Atmospheric Correction Methods for Landsat-8 and Sentinel-2 over Lakes, Rivers, and Coastal Waters.”</w:t>
      </w:r>
      <w:r>
        <w:t xml:space="preserve"> </w:t>
      </w:r>
      <w:r>
        <w:rPr>
          <w:i/>
          <w:iCs/>
        </w:rPr>
        <w:t xml:space="preserve">Remote Sensing of Environment</w:t>
      </w:r>
      <w:r>
        <w:t xml:space="preserve"> </w:t>
      </w:r>
      <w:r>
        <w:t xml:space="preserve">258: 112366. https://doi.org/</w:t>
      </w:r>
      <w:hyperlink r:id="rId380">
        <w:r>
          <w:rPr>
            <w:rStyle w:val="Hyperlink"/>
          </w:rPr>
          <w:t xml:space="preserve">https://doi.org/10.1016/j.rse.2021.112366</w:t>
        </w:r>
      </w:hyperlink>
      <w:r>
        <w:t xml:space="preserve">.</w:t>
      </w:r>
    </w:p>
    <w:bookmarkEnd w:id="381"/>
    <w:bookmarkStart w:id="383" w:name="ref-pahlevan2017"/>
    <w:p>
      <w:pPr>
        <w:pStyle w:val="Literaturverzeichnis"/>
      </w:pPr>
      <w:r>
        <w:t xml:space="preserve">Pahlevan, Nima, John R. Schott, Bryan A. Franz, et al. 2017.</w:t>
      </w:r>
      <w:r>
        <w:t xml:space="preserve"> </w:t>
      </w:r>
      <w:r>
        <w:t xml:space="preserve">“Landsat 8 Remote Sensing Reflectance (Rrs) Products: Evaluations, Intercomparisons, and Enhancements.”</w:t>
      </w:r>
      <w:r>
        <w:t xml:space="preserve"> </w:t>
      </w:r>
      <w:r>
        <w:rPr>
          <w:i/>
          <w:iCs/>
        </w:rPr>
        <w:t xml:space="preserve">Remote Sensing of Environment</w:t>
      </w:r>
      <w:r>
        <w:t xml:space="preserve"> </w:t>
      </w:r>
      <w:r>
        <w:t xml:space="preserve">190: 289–301. https://doi.org/</w:t>
      </w:r>
      <w:hyperlink r:id="rId382">
        <w:r>
          <w:rPr>
            <w:rStyle w:val="Hyperlink"/>
          </w:rPr>
          <w:t xml:space="preserve">https://doi.org/10.1016/j.rse.2016.12.030</w:t>
        </w:r>
      </w:hyperlink>
      <w:r>
        <w:t xml:space="preserve">.</w:t>
      </w:r>
    </w:p>
    <w:bookmarkEnd w:id="383"/>
    <w:bookmarkStart w:id="385" w:name="ref-pan2025"/>
    <w:p>
      <w:pPr>
        <w:pStyle w:val="Literaturverzeichnis"/>
      </w:pPr>
      <w:r>
        <w:t xml:space="preserve">Pan, Yanqun, and Simon Bélanger. 2025.</w:t>
      </w:r>
      <w:r>
        <w:t xml:space="preserve"> </w:t>
      </w:r>
      <w:r>
        <w:t xml:space="preserve">“Genetic Algorithm for Atmospheric Correction (GAAC) of Water Bodies Impacted by Adjacency Effects.”</w:t>
      </w:r>
      <w:r>
        <w:t xml:space="preserve"> </w:t>
      </w:r>
      <w:r>
        <w:rPr>
          <w:i/>
          <w:iCs/>
        </w:rPr>
        <w:t xml:space="preserve">Remote Sensing of Environment</w:t>
      </w:r>
      <w:r>
        <w:t xml:space="preserve"> </w:t>
      </w:r>
      <w:r>
        <w:t xml:space="preserve">317: 114508. https://doi.org/</w:t>
      </w:r>
      <w:hyperlink r:id="rId384">
        <w:r>
          <w:rPr>
            <w:rStyle w:val="Hyperlink"/>
          </w:rPr>
          <w:t xml:space="preserve">https://doi.org/10.1016/j.rse.2024.114508</w:t>
        </w:r>
      </w:hyperlink>
      <w:r>
        <w:t xml:space="preserve">.</w:t>
      </w:r>
    </w:p>
    <w:bookmarkEnd w:id="385"/>
    <w:bookmarkStart w:id="387" w:name="ref-park2005"/>
    <w:p>
      <w:pPr>
        <w:pStyle w:val="Literaturverzeichnis"/>
      </w:pPr>
      <w:r>
        <w:t xml:space="preserve">Park, Young-Je, and Kevin Ruddick. 2005.</w:t>
      </w:r>
      <w:r>
        <w:t xml:space="preserve"> </w:t>
      </w:r>
      <w:r>
        <w:t xml:space="preserve">“Model of Remote-Sensing Reflectance Including Bidirectional Effects for Case 1 and Case 2 Waters.”</w:t>
      </w:r>
      <w:r>
        <w:t xml:space="preserve"> </w:t>
      </w:r>
      <w:r>
        <w:rPr>
          <w:i/>
          <w:iCs/>
        </w:rPr>
        <w:t xml:space="preserve">Appl. Opt.</w:t>
      </w:r>
      <w:r>
        <w:t xml:space="preserve"> </w:t>
      </w:r>
      <w:r>
        <w:t xml:space="preserve">44 (7): 1236–49.</w:t>
      </w:r>
      <w:r>
        <w:t xml:space="preserve"> </w:t>
      </w:r>
      <w:hyperlink r:id="rId386">
        <w:r>
          <w:rPr>
            <w:rStyle w:val="Hyperlink"/>
          </w:rPr>
          <w:t xml:space="preserve">https://doi.org/10.1364/AO.44.001236</w:t>
        </w:r>
      </w:hyperlink>
      <w:r>
        <w:t xml:space="preserve">.</w:t>
      </w:r>
    </w:p>
    <w:bookmarkEnd w:id="387"/>
    <w:bookmarkStart w:id="389" w:name="ref-pekel2016"/>
    <w:p>
      <w:pPr>
        <w:pStyle w:val="Literaturverzeichnis"/>
      </w:pPr>
      <w:r>
        <w:t xml:space="preserve">Pekel, J.-F, Andrew Cottam, Noel Gorelick, and Alan Belward. 2016.</w:t>
      </w:r>
      <w:r>
        <w:t xml:space="preserve"> </w:t>
      </w:r>
      <w:r>
        <w:t xml:space="preserve">“High-Resolution Mapping of Global Surface Water and Its Long-Term Changes.”</w:t>
      </w:r>
      <w:r>
        <w:t xml:space="preserve"> </w:t>
      </w:r>
      <w:r>
        <w:rPr>
          <w:i/>
          <w:iCs/>
        </w:rPr>
        <w:t xml:space="preserve">Nature</w:t>
      </w:r>
      <w:r>
        <w:t xml:space="preserve"> </w:t>
      </w:r>
      <w:r>
        <w:t xml:space="preserve">540 (December).</w:t>
      </w:r>
      <w:r>
        <w:t xml:space="preserve"> </w:t>
      </w:r>
      <w:hyperlink r:id="rId388">
        <w:r>
          <w:rPr>
            <w:rStyle w:val="Hyperlink"/>
          </w:rPr>
          <w:t xml:space="preserve">https://doi.org/10.1038/nature20584</w:t>
        </w:r>
      </w:hyperlink>
      <w:r>
        <w:t xml:space="preserve">.</w:t>
      </w:r>
    </w:p>
    <w:bookmarkEnd w:id="389"/>
    <w:bookmarkStart w:id="391" w:name="ref-reusen2023"/>
    <w:p>
      <w:pPr>
        <w:pStyle w:val="Literaturverzeichnis"/>
      </w:pPr>
      <w:r>
        <w:t xml:space="preserve">Reusen, Ils, Liesbeth De Keukelaere, Sindy Sterckx, et al. 2023.</w:t>
      </w:r>
      <w:r>
        <w:t xml:space="preserve"> </w:t>
      </w:r>
      <w:r>
        <w:rPr>
          <w:i/>
          <w:iCs/>
        </w:rPr>
        <w:t xml:space="preserve">Atmospheric Corrections</w:t>
      </w:r>
      <w:r>
        <w:t xml:space="preserve">. Zenodo.</w:t>
      </w:r>
      <w:r>
        <w:t xml:space="preserve"> </w:t>
      </w:r>
      <w:hyperlink r:id="rId390">
        <w:r>
          <w:rPr>
            <w:rStyle w:val="Hyperlink"/>
          </w:rPr>
          <w:t xml:space="preserve">https://doi.org/10.5281/zenodo.10357236</w:t>
        </w:r>
      </w:hyperlink>
      <w:r>
        <w:t xml:space="preserve">.</w:t>
      </w:r>
    </w:p>
    <w:bookmarkEnd w:id="391"/>
    <w:bookmarkStart w:id="393" w:name="ref-richardson2024"/>
    <w:p>
      <w:pPr>
        <w:pStyle w:val="Literaturverzeichnis"/>
      </w:pPr>
      <w:r>
        <w:t xml:space="preserve">Richardson, Galen, Neve Foreman, Anders Knudby, Yulun Wu, and Yiwen Lin. 2024.</w:t>
      </w:r>
      <w:r>
        <w:t xml:space="preserve"> </w:t>
      </w:r>
      <w:r>
        <w:t xml:space="preserve">“Global Deep Learning Model for Delineation of Optically Shallow and Optically Deep Water in Sentinel-2 Imagery.”</w:t>
      </w:r>
      <w:r>
        <w:t xml:space="preserve"> </w:t>
      </w:r>
      <w:r>
        <w:rPr>
          <w:i/>
          <w:iCs/>
        </w:rPr>
        <w:t xml:space="preserve">Remote Sensing of Environment</w:t>
      </w:r>
      <w:r>
        <w:t xml:space="preserve"> </w:t>
      </w:r>
      <w:r>
        <w:t xml:space="preserve">311: 114302. https://doi.org/</w:t>
      </w:r>
      <w:hyperlink r:id="rId392">
        <w:r>
          <w:rPr>
            <w:rStyle w:val="Hyperlink"/>
          </w:rPr>
          <w:t xml:space="preserve">https://doi.org/10.1016/j.rse.2024.114302</w:t>
        </w:r>
      </w:hyperlink>
      <w:r>
        <w:t xml:space="preserve">.</w:t>
      </w:r>
    </w:p>
    <w:bookmarkEnd w:id="393"/>
    <w:bookmarkStart w:id="394" w:name="ref-robinson2003"/>
    <w:p>
      <w:pPr>
        <w:pStyle w:val="Literaturverzeichnis"/>
      </w:pPr>
      <w:r>
        <w:t xml:space="preserve">Robinson, Wayne, Bryan Franz, Frederick Patt, Sean Bailey, and Jeremy Werdell. 2003.</w:t>
      </w:r>
      <w:r>
        <w:t xml:space="preserve"> </w:t>
      </w:r>
      <w:r>
        <w:t xml:space="preserve">“Masks and Flags Updates.”</w:t>
      </w:r>
      <w:r>
        <w:t xml:space="preserve"> </w:t>
      </w:r>
      <w:r>
        <w:rPr>
          <w:i/>
          <w:iCs/>
        </w:rPr>
        <w:t xml:space="preserve">NASA Technical Memorandum - SeaWIFS Postlaunch Technical Report Series</w:t>
      </w:r>
      <w:r>
        <w:t xml:space="preserve">, May, 34–40.</w:t>
      </w:r>
    </w:p>
    <w:bookmarkEnd w:id="394"/>
    <w:bookmarkStart w:id="396" w:name="ref-sei2015"/>
    <w:p>
      <w:pPr>
        <w:pStyle w:val="Literaturverzeichnis"/>
      </w:pPr>
      <w:r>
        <w:t xml:space="preserve">Sei, Alain. 2015.</w:t>
      </w:r>
      <w:r>
        <w:t xml:space="preserve"> </w:t>
      </w:r>
      <w:r>
        <w:t xml:space="preserve">“Efficient Correction of Adjacency Effects for High-Resolution Imagery: Integral Equations, Analytic Continuation, and Pad&amp;#xE9; Approximants.”</w:t>
      </w:r>
      <w:r>
        <w:t xml:space="preserve"> </w:t>
      </w:r>
      <w:r>
        <w:rPr>
          <w:i/>
          <w:iCs/>
        </w:rPr>
        <w:t xml:space="preserve">Appl. Opt.</w:t>
      </w:r>
      <w:r>
        <w:t xml:space="preserve"> </w:t>
      </w:r>
      <w:r>
        <w:t xml:space="preserve">54 (12): 3748–58.</w:t>
      </w:r>
      <w:r>
        <w:t xml:space="preserve"> </w:t>
      </w:r>
      <w:hyperlink r:id="rId395">
        <w:r>
          <w:rPr>
            <w:rStyle w:val="Hyperlink"/>
          </w:rPr>
          <w:t xml:space="preserve">https://doi.org/10.1364/AO.54.003748</w:t>
        </w:r>
      </w:hyperlink>
      <w:r>
        <w:t xml:space="preserve">.</w:t>
      </w:r>
    </w:p>
    <w:bookmarkEnd w:id="396"/>
    <w:bookmarkStart w:id="398" w:name="ref-shi2007"/>
    <w:p>
      <w:pPr>
        <w:pStyle w:val="Literaturverzeichnis"/>
      </w:pPr>
      <w:r>
        <w:t xml:space="preserve">Shi, Wei, and Menghua Wang. 2007.</w:t>
      </w:r>
      <w:r>
        <w:t xml:space="preserve"> </w:t>
      </w:r>
      <w:r>
        <w:t xml:space="preserve">“Detection of Turbid Waters and Absorbing Aerosols for the MODIS Ocean Color Data Processing.”</w:t>
      </w:r>
      <w:r>
        <w:t xml:space="preserve"> </w:t>
      </w:r>
      <w:r>
        <w:rPr>
          <w:i/>
          <w:iCs/>
        </w:rPr>
        <w:t xml:space="preserve">Remote Sensing of Environment</w:t>
      </w:r>
      <w:r>
        <w:t xml:space="preserve"> </w:t>
      </w:r>
      <w:r>
        <w:t xml:space="preserve">110 (2): 149–61. https://doi.org/</w:t>
      </w:r>
      <w:hyperlink r:id="rId397">
        <w:r>
          <w:rPr>
            <w:rStyle w:val="Hyperlink"/>
          </w:rPr>
          <w:t xml:space="preserve">https://doi.org/10.1016/j.rse.2007.02.013</w:t>
        </w:r>
      </w:hyperlink>
      <w:r>
        <w:t xml:space="preserve">.</w:t>
      </w:r>
    </w:p>
    <w:bookmarkEnd w:id="398"/>
    <w:bookmarkStart w:id="400" w:name="ref-skakun2022"/>
    <w:p>
      <w:pPr>
        <w:pStyle w:val="Literaturverzeichnis"/>
      </w:pPr>
      <w:r>
        <w:t xml:space="preserve">Skakun, Sergii, Jan Wevers, Carsten Brockmann, et al. 2022.</w:t>
      </w:r>
      <w:r>
        <w:t xml:space="preserve"> </w:t>
      </w:r>
      <w:r>
        <w:t xml:space="preserve">“Cloud Mask Intercomparison eXercise (CMIX): An Evaluation of Cloud Masking Algorithms for Landsat 8 and Sentinel-2.”</w:t>
      </w:r>
      <w:r>
        <w:t xml:space="preserve"> </w:t>
      </w:r>
      <w:r>
        <w:rPr>
          <w:i/>
          <w:iCs/>
        </w:rPr>
        <w:t xml:space="preserve">Remote Sensing of Environment</w:t>
      </w:r>
      <w:r>
        <w:t xml:space="preserve"> </w:t>
      </w:r>
      <w:r>
        <w:t xml:space="preserve">274: 112990. https://doi.org/</w:t>
      </w:r>
      <w:hyperlink r:id="rId399">
        <w:r>
          <w:rPr>
            <w:rStyle w:val="Hyperlink"/>
          </w:rPr>
          <w:t xml:space="preserve">https://doi.org/10.1016/j.rse.2022.112990</w:t>
        </w:r>
      </w:hyperlink>
      <w:r>
        <w:t xml:space="preserve">.</w:t>
      </w:r>
    </w:p>
    <w:bookmarkEnd w:id="400"/>
    <w:bookmarkStart w:id="402" w:name="ref-soppa2021"/>
    <w:p>
      <w:pPr>
        <w:pStyle w:val="Literaturverzeichnis"/>
      </w:pPr>
      <w:r>
        <w:t xml:space="preserve">Soppa, Mariana A., Brenner Silva, François Steinmetz, et al. 2021.</w:t>
      </w:r>
      <w:r>
        <w:t xml:space="preserve"> </w:t>
      </w:r>
      <w:r>
        <w:t xml:space="preserve">“Assessment of Polymer Atmospheric Correction Algorithm for Hyperspectral Remote Sensing Imagery over Coastal Waters.”</w:t>
      </w:r>
      <w:r>
        <w:t xml:space="preserve"> </w:t>
      </w:r>
      <w:r>
        <w:rPr>
          <w:i/>
          <w:iCs/>
        </w:rPr>
        <w:t xml:space="preserve">Sensors</w:t>
      </w:r>
      <w:r>
        <w:t xml:space="preserve"> </w:t>
      </w:r>
      <w:r>
        <w:t xml:space="preserve">21 (12).</w:t>
      </w:r>
      <w:r>
        <w:t xml:space="preserve"> </w:t>
      </w:r>
      <w:hyperlink r:id="rId401">
        <w:r>
          <w:rPr>
            <w:rStyle w:val="Hyperlink"/>
          </w:rPr>
          <w:t xml:space="preserve">https://doi.org/10.3390/s21124125</w:t>
        </w:r>
      </w:hyperlink>
      <w:r>
        <w:t xml:space="preserve">.</w:t>
      </w:r>
    </w:p>
    <w:bookmarkEnd w:id="402"/>
    <w:bookmarkStart w:id="404" w:name="ref-sterckx2015"/>
    <w:p>
      <w:pPr>
        <w:pStyle w:val="Literaturverzeichnis"/>
      </w:pPr>
      <w:r>
        <w:t xml:space="preserve">Sterckx, S., S. Knaeps, S. Kratzer, and K. Ruddick. 2015.</w:t>
      </w:r>
      <w:r>
        <w:t xml:space="preserve"> </w:t>
      </w:r>
      <w:r>
        <w:t xml:space="preserve">“SIMilarity Environment Correction (SIMEC) Applied to MERIS Data over Inland and Coastal Waters.”</w:t>
      </w:r>
      <w:r>
        <w:t xml:space="preserve"> </w:t>
      </w:r>
      <w:r>
        <w:rPr>
          <w:i/>
          <w:iCs/>
        </w:rPr>
        <w:t xml:space="preserve">Remote Sensing of Environment</w:t>
      </w:r>
      <w:r>
        <w:t xml:space="preserve"> </w:t>
      </w:r>
      <w:r>
        <w:t xml:space="preserve">157: 96–110. https://doi.org/</w:t>
      </w:r>
      <w:hyperlink r:id="rId403">
        <w:r>
          <w:rPr>
            <w:rStyle w:val="Hyperlink"/>
          </w:rPr>
          <w:t xml:space="preserve">https://doi.org/10.1016/j.rse.2014.06.017</w:t>
        </w:r>
      </w:hyperlink>
      <w:r>
        <w:t xml:space="preserve">.</w:t>
      </w:r>
    </w:p>
    <w:bookmarkEnd w:id="404"/>
    <w:bookmarkStart w:id="405" w:name="ref-stumpf2003"/>
    <w:p>
      <w:pPr>
        <w:pStyle w:val="Literaturverzeichnis"/>
      </w:pPr>
      <w:r>
        <w:t xml:space="preserve">Stumpf, Richard, Robert Arnone, R. Gould, P. Martinolich, and Varis Ransibrahmanakul. 2003.</w:t>
      </w:r>
      <w:r>
        <w:t xml:space="preserve"> </w:t>
      </w:r>
      <w:r>
        <w:t xml:space="preserve">“A Partially Coupled Ocean-Atmosphere Model for Retrieval of Water-Leaving Radiance from SeaWiFS in Coastal Waters.”</w:t>
      </w:r>
      <w:r>
        <w:t xml:space="preserve"> </w:t>
      </w:r>
      <w:r>
        <w:rPr>
          <w:i/>
          <w:iCs/>
        </w:rPr>
        <w:t xml:space="preserve">NASA Tech. Memo</w:t>
      </w:r>
      <w:r>
        <w:t xml:space="preserve"> </w:t>
      </w:r>
      <w:r>
        <w:t xml:space="preserve">206892 (May): 51–59.</w:t>
      </w:r>
    </w:p>
    <w:bookmarkEnd w:id="405"/>
    <w:bookmarkStart w:id="407" w:name="ref-vabson2024"/>
    <w:p>
      <w:pPr>
        <w:pStyle w:val="Literaturverzeichnis"/>
      </w:pPr>
      <w:r>
        <w:t xml:space="preserve">Vabson, Viktor, Ilmar Ansko, Kim Duong, et al. 2024.</w:t>
      </w:r>
      <w:r>
        <w:t xml:space="preserve"> </w:t>
      </w:r>
      <w:r>
        <w:t xml:space="preserve">“Complete Characterization of Ocean Color Radiometers.”</w:t>
      </w:r>
      <w:r>
        <w:t xml:space="preserve"> </w:t>
      </w:r>
      <w:r>
        <w:rPr>
          <w:i/>
          <w:iCs/>
        </w:rPr>
        <w:t xml:space="preserve">Frontiers in Remote Sensing</w:t>
      </w:r>
      <w:r>
        <w:t xml:space="preserve"> </w:t>
      </w:r>
      <w:r>
        <w:t xml:space="preserve">Volume 5 - 2024.</w:t>
      </w:r>
      <w:r>
        <w:t xml:space="preserve"> </w:t>
      </w:r>
      <w:hyperlink r:id="rId406">
        <w:r>
          <w:rPr>
            <w:rStyle w:val="Hyperlink"/>
          </w:rPr>
          <w:t xml:space="preserve">https://doi.org/10.3389/frsen.2024.1320454</w:t>
        </w:r>
      </w:hyperlink>
      <w:r>
        <w:t xml:space="preserve">.</w:t>
      </w:r>
    </w:p>
    <w:bookmarkEnd w:id="407"/>
    <w:bookmarkStart w:id="409" w:name="ref-vanhellemont2019"/>
    <w:p>
      <w:pPr>
        <w:pStyle w:val="Literaturverzeichnis"/>
      </w:pPr>
      <w:r>
        <w:t xml:space="preserve">Vanhellemont, Quinten. 2019.</w:t>
      </w:r>
      <w:r>
        <w:t xml:space="preserve"> </w:t>
      </w:r>
      <w:r>
        <w:t xml:space="preserve">“Adaptation of the Dark Spectrum Fitting Atmospheric Correction for Aquatic Applications of the Landsat and Sentinel-2 Archives.”</w:t>
      </w:r>
      <w:r>
        <w:t xml:space="preserve"> </w:t>
      </w:r>
      <w:r>
        <w:rPr>
          <w:i/>
          <w:iCs/>
        </w:rPr>
        <w:t xml:space="preserve">Remote Sensing of Environment</w:t>
      </w:r>
      <w:r>
        <w:t xml:space="preserve"> </w:t>
      </w:r>
      <w:r>
        <w:t xml:space="preserve">225: 175–92. https://doi.org/</w:t>
      </w:r>
      <w:hyperlink r:id="rId408">
        <w:r>
          <w:rPr>
            <w:rStyle w:val="Hyperlink"/>
          </w:rPr>
          <w:t xml:space="preserve">https://doi.org/10.1016/j.rse.2019.03.010</w:t>
        </w:r>
      </w:hyperlink>
      <w:r>
        <w:t xml:space="preserve">.</w:t>
      </w:r>
    </w:p>
    <w:bookmarkEnd w:id="409"/>
    <w:bookmarkStart w:id="411" w:name="ref-wang2017"/>
    <w:p>
      <w:pPr>
        <w:pStyle w:val="Literaturverzeichnis"/>
      </w:pPr>
      <w:r>
        <w:t xml:space="preserve">Wang, Menghua, Xiaoming Liu, Lide Jiang, and SeungHyun Son. 2017.</w:t>
      </w:r>
      <w:r>
        <w:t xml:space="preserve"> </w:t>
      </w:r>
      <w:r>
        <w:rPr>
          <w:i/>
          <w:iCs/>
        </w:rPr>
        <w:t xml:space="preserve">VIIRS Ocean Color Products: Algorithm Theoretical Basis Document (ATBD), Version 1.0</w:t>
      </w:r>
      <w:r>
        <w:t xml:space="preserve">. Algorithm Theoretical Basis Document. NOAA NESDIS Center for Satellite Applications; Research (STAR).</w:t>
      </w:r>
      <w:r>
        <w:t xml:space="preserve"> </w:t>
      </w:r>
      <w:hyperlink r:id="rId410">
        <w:r>
          <w:rPr>
            <w:rStyle w:val="Hyperlink"/>
          </w:rPr>
          <w:t xml:space="preserve">https://www.star.nesdis.noaa.gov/jpss/documents/ATBD/ATBD_OceanColor_v1.0.pdf</w:t>
        </w:r>
      </w:hyperlink>
      <w:r>
        <w:t xml:space="preserve">.</w:t>
      </w:r>
    </w:p>
    <w:bookmarkEnd w:id="411"/>
    <w:bookmarkStart w:id="413" w:name="ref-weatherall2015"/>
    <w:p>
      <w:pPr>
        <w:pStyle w:val="Literaturverzeichnis"/>
      </w:pPr>
      <w:r>
        <w:t xml:space="preserve">Weatherall, Pauline, K. M. Marks, Martin Jakobsson, et al. 2015.</w:t>
      </w:r>
      <w:r>
        <w:t xml:space="preserve"> </w:t>
      </w:r>
      <w:r>
        <w:t xml:space="preserve">“A New Digital Bathymetric Model of the World’s Oceans.”</w:t>
      </w:r>
      <w:r>
        <w:t xml:space="preserve"> </w:t>
      </w:r>
      <w:r>
        <w:rPr>
          <w:i/>
          <w:iCs/>
        </w:rPr>
        <w:t xml:space="preserve">Earth and Space Science</w:t>
      </w:r>
      <w:r>
        <w:t xml:space="preserve"> </w:t>
      </w:r>
      <w:r>
        <w:t xml:space="preserve">2 (8): 331–45. https://doi.org/</w:t>
      </w:r>
      <w:hyperlink r:id="rId412">
        <w:r>
          <w:rPr>
            <w:rStyle w:val="Hyperlink"/>
          </w:rPr>
          <w:t xml:space="preserve">https://doi.org/10.1002/2015EA000107</w:t>
        </w:r>
      </w:hyperlink>
      <w:r>
        <w:t xml:space="preserve">.</w:t>
      </w:r>
    </w:p>
    <w:bookmarkEnd w:id="413"/>
    <w:bookmarkStart w:id="415" w:name="ref-wu2023"/>
    <w:p>
      <w:pPr>
        <w:pStyle w:val="Literaturverzeichnis"/>
      </w:pPr>
      <w:r>
        <w:t xml:space="preserve">Wu, Yulun, Anders Knudby, and David Lapen. 2023.</w:t>
      </w:r>
      <w:r>
        <w:t xml:space="preserve"> </w:t>
      </w:r>
      <w:r>
        <w:t xml:space="preserve">“Topography-Adjusted Monte Carlo Simulation of the Adjacency Effect in Remote Sensing of Coastal and Inland Waters.”</w:t>
      </w:r>
      <w:r>
        <w:t xml:space="preserve"> </w:t>
      </w:r>
      <w:r>
        <w:rPr>
          <w:i/>
          <w:iCs/>
        </w:rPr>
        <w:t xml:space="preserve">Journal of Quantitative Spectroscopy and Radiative Transfer</w:t>
      </w:r>
      <w:r>
        <w:t xml:space="preserve"> </w:t>
      </w:r>
      <w:r>
        <w:t xml:space="preserve">303: 108589. https://doi.org/</w:t>
      </w:r>
      <w:hyperlink r:id="rId414">
        <w:r>
          <w:rPr>
            <w:rStyle w:val="Hyperlink"/>
          </w:rPr>
          <w:t xml:space="preserve">https://doi.org/10.1016/j.jqsrt.2023.108589</w:t>
        </w:r>
      </w:hyperlink>
      <w:r>
        <w:t xml:space="preserve">.</w:t>
      </w:r>
    </w:p>
    <w:bookmarkEnd w:id="415"/>
    <w:bookmarkStart w:id="417" w:name="ref-wu2024"/>
    <w:p>
      <w:pPr>
        <w:pStyle w:val="Literaturverzeichnis"/>
      </w:pPr>
      <w:r>
        <w:t xml:space="preserve">Wu, Yulun, Anders Knudby, Nima Pahlevan, David Lapen, and Chuiqing Zeng. 2024.</w:t>
      </w:r>
      <w:r>
        <w:t xml:space="preserve"> </w:t>
      </w:r>
      <w:r>
        <w:t xml:space="preserve">“Sensor-Generic Adjacency-Effect Correction for Remote Sensing of Coastal and Inland Waters.”</w:t>
      </w:r>
      <w:r>
        <w:t xml:space="preserve"> </w:t>
      </w:r>
      <w:r>
        <w:rPr>
          <w:i/>
          <w:iCs/>
        </w:rPr>
        <w:t xml:space="preserve">Remote Sensing of Environment</w:t>
      </w:r>
      <w:r>
        <w:t xml:space="preserve"> </w:t>
      </w:r>
      <w:r>
        <w:t xml:space="preserve">315: 114433. https://doi.org/</w:t>
      </w:r>
      <w:hyperlink r:id="rId416">
        <w:r>
          <w:rPr>
            <w:rStyle w:val="Hyperlink"/>
          </w:rPr>
          <w:t xml:space="preserve">https://doi.org/10.1016/j.rse.2024.114433</w:t>
        </w:r>
      </w:hyperlink>
      <w:r>
        <w:t xml:space="preserve">.</w:t>
      </w:r>
    </w:p>
    <w:bookmarkEnd w:id="417"/>
    <w:bookmarkStart w:id="419" w:name="ref-zhang2017"/>
    <w:p>
      <w:pPr>
        <w:pStyle w:val="Literaturverzeichnis"/>
      </w:pPr>
      <w:r>
        <w:t xml:space="preserve">Zhang, Xiaodong, Shuangyan He, Afshin Shabani, Peng-Wang Zhai, and Keping Du. 2017.</w:t>
      </w:r>
      <w:r>
        <w:t xml:space="preserve"> </w:t>
      </w:r>
      <w:r>
        <w:t xml:space="preserve">“Spectral Sea Surface Reflectance of Skylight.”</w:t>
      </w:r>
      <w:r>
        <w:t xml:space="preserve"> </w:t>
      </w:r>
      <w:r>
        <w:rPr>
          <w:i/>
          <w:iCs/>
        </w:rPr>
        <w:t xml:space="preserve">Opt. Express</w:t>
      </w:r>
      <w:r>
        <w:t xml:space="preserve"> </w:t>
      </w:r>
      <w:r>
        <w:t xml:space="preserve">25 (4): A1–13.</w:t>
      </w:r>
      <w:r>
        <w:t xml:space="preserve"> </w:t>
      </w:r>
      <w:hyperlink r:id="rId418">
        <w:r>
          <w:rPr>
            <w:rStyle w:val="Hyperlink"/>
          </w:rPr>
          <w:t xml:space="preserve">https://doi.org/10.1364/OE.25.0000A1</w:t>
        </w:r>
      </w:hyperlink>
      <w:r>
        <w:t xml:space="preserve">.</w:t>
      </w:r>
    </w:p>
    <w:bookmarkEnd w:id="419"/>
    <w:bookmarkStart w:id="421" w:name="ref-zhu2015"/>
    <w:p>
      <w:pPr>
        <w:pStyle w:val="Literaturverzeichnis"/>
      </w:pPr>
      <w:r>
        <w:t xml:space="preserve">Zhu, Zhe, Shixiong Wang, and Curtis E. Woodcock. 2015.</w:t>
      </w:r>
      <w:r>
        <w:t xml:space="preserve"> </w:t>
      </w:r>
      <w:r>
        <w:t xml:space="preserve">“Improvement and Expansion of the Fmask Algorithm: Cloud, Cloud Shadow, and Snow Detection for Landsats 4–7, 8, and Sentinel 2 Images.”</w:t>
      </w:r>
      <w:r>
        <w:t xml:space="preserve"> </w:t>
      </w:r>
      <w:r>
        <w:rPr>
          <w:i/>
          <w:iCs/>
        </w:rPr>
        <w:t xml:space="preserve">Remote Sensing of Environment</w:t>
      </w:r>
      <w:r>
        <w:t xml:space="preserve"> </w:t>
      </w:r>
      <w:r>
        <w:t xml:space="preserve">159: 269–77. https://doi.org/</w:t>
      </w:r>
      <w:hyperlink r:id="rId420">
        <w:r>
          <w:rPr>
            <w:rStyle w:val="Hyperlink"/>
          </w:rPr>
          <w:t xml:space="preserve">https://doi.org/10.1016/j.rse.2014.12.014</w:t>
        </w:r>
      </w:hyperlink>
      <w:r>
        <w:t xml:space="preserve">.</w:t>
      </w:r>
    </w:p>
    <w:bookmarkEnd w:id="421"/>
    <w:bookmarkStart w:id="423" w:name="ref-zhu2012"/>
    <w:p>
      <w:pPr>
        <w:pStyle w:val="Literaturverzeichnis"/>
      </w:pPr>
      <w:r>
        <w:t xml:space="preserve">Zhu, Zhe, and Curtis E. Woodcock. 2012.</w:t>
      </w:r>
      <w:r>
        <w:t xml:space="preserve"> </w:t>
      </w:r>
      <w:r>
        <w:t xml:space="preserve">“Object-Based Cloud and Cloud Shadow Detection in Landsat Imagery.”</w:t>
      </w:r>
      <w:r>
        <w:t xml:space="preserve"> </w:t>
      </w:r>
      <w:r>
        <w:rPr>
          <w:i/>
          <w:iCs/>
        </w:rPr>
        <w:t xml:space="preserve">Remote Sensing of Environment</w:t>
      </w:r>
      <w:r>
        <w:t xml:space="preserve"> </w:t>
      </w:r>
      <w:r>
        <w:t xml:space="preserve">118: 83–94. https://doi.org/</w:t>
      </w:r>
      <w:hyperlink r:id="rId422">
        <w:r>
          <w:rPr>
            <w:rStyle w:val="Hyperlink"/>
          </w:rPr>
          <w:t xml:space="preserve">https://doi.org/10.1016/j.rse.2011.10.028</w:t>
        </w:r>
      </w:hyperlink>
      <w:r>
        <w:t xml:space="preserve">.</w:t>
      </w:r>
    </w:p>
    <w:bookmarkEnd w:id="423"/>
    <w:bookmarkEnd w:id="424"/>
    <w:bookmarkEnd w:id="425"/>
    <w:bookmarkEnd w:id="426"/>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63" Target="https://ceos.org/ard/files/CEOS_ARD_Governance_Framework_18-October-2021.pdf" TargetMode="External" /><Relationship Type="http://schemas.openxmlformats.org/officeDocument/2006/relationships/hyperlink" Id="rId76" Target="https://database.eohandbook.com" TargetMode="External" /><Relationship Type="http://schemas.openxmlformats.org/officeDocument/2006/relationships/hyperlink" Id="rId412" Target="https://doi.org/10.1002/2015EA000107" TargetMode="External" /><Relationship Type="http://schemas.openxmlformats.org/officeDocument/2006/relationships/hyperlink" Id="rId269" Target="https://doi.org/10.1002/lno.12606" TargetMode="External" /><Relationship Type="http://schemas.openxmlformats.org/officeDocument/2006/relationships/hyperlink" Id="rId414" Target="https://doi.org/10.1016/j.jqsrt.2023.108589" TargetMode="External" /><Relationship Type="http://schemas.openxmlformats.org/officeDocument/2006/relationships/hyperlink" Id="rId376" Target="https://doi.org/10.1016/j.rse.2006.01.022" TargetMode="External" /><Relationship Type="http://schemas.openxmlformats.org/officeDocument/2006/relationships/hyperlink" Id="rId397" Target="https://doi.org/10.1016/j.rse.2007.02.013" TargetMode="External" /><Relationship Type="http://schemas.openxmlformats.org/officeDocument/2006/relationships/hyperlink" Id="rId378" Target="https://doi.org/10.1016/j.rse.2007.07.009" TargetMode="External" /><Relationship Type="http://schemas.openxmlformats.org/officeDocument/2006/relationships/hyperlink" Id="rId275" Target="https://doi.org/10.1016/j.rse.2008.12.003" TargetMode="External" /><Relationship Type="http://schemas.openxmlformats.org/officeDocument/2006/relationships/hyperlink" Id="rId321" Target="https://doi.org/10.1016/j.rse.2009.05.012" TargetMode="External" /><Relationship Type="http://schemas.openxmlformats.org/officeDocument/2006/relationships/hyperlink" Id="rId351" Target="https://doi.org/10.1016/j.rse.2009.06.016" TargetMode="External" /><Relationship Type="http://schemas.openxmlformats.org/officeDocument/2006/relationships/hyperlink" Id="rId422" Target="https://doi.org/10.1016/j.rse.2011.10.028" TargetMode="External" /><Relationship Type="http://schemas.openxmlformats.org/officeDocument/2006/relationships/hyperlink" Id="rId362" Target="https://doi.org/10.1016/j.rse.2012.05.032" TargetMode="External" /><Relationship Type="http://schemas.openxmlformats.org/officeDocument/2006/relationships/hyperlink" Id="rId277" Target="https://doi.org/10.1016/j.rse.2013.07.040" TargetMode="External" /><Relationship Type="http://schemas.openxmlformats.org/officeDocument/2006/relationships/hyperlink" Id="rId403" Target="https://doi.org/10.1016/j.rse.2014.06.017" TargetMode="External" /><Relationship Type="http://schemas.openxmlformats.org/officeDocument/2006/relationships/hyperlink" Id="rId345" Target="https://doi.org/10.1016/j.rse.2014.07.025" TargetMode="External" /><Relationship Type="http://schemas.openxmlformats.org/officeDocument/2006/relationships/hyperlink" Id="rId364" Target="https://doi.org/10.1016/j.rse.2014.10.010" TargetMode="External" /><Relationship Type="http://schemas.openxmlformats.org/officeDocument/2006/relationships/hyperlink" Id="rId420" Target="https://doi.org/10.1016/j.rse.2014.12.014" TargetMode="External" /><Relationship Type="http://schemas.openxmlformats.org/officeDocument/2006/relationships/hyperlink" Id="rId382" Target="https://doi.org/10.1016/j.rse.2016.12.030" TargetMode="External" /><Relationship Type="http://schemas.openxmlformats.org/officeDocument/2006/relationships/hyperlink" Id="rId299" Target="https://doi.org/10.1016/j.rse.2017.03.026" TargetMode="External" /><Relationship Type="http://schemas.openxmlformats.org/officeDocument/2006/relationships/hyperlink" Id="rId314" Target="https://doi.org/10.1016/j.rse.2017.10.022" TargetMode="External" /><Relationship Type="http://schemas.openxmlformats.org/officeDocument/2006/relationships/hyperlink" Id="rId281" Target="https://doi.org/10.1016/j.rse.2017.12.021" TargetMode="External" /><Relationship Type="http://schemas.openxmlformats.org/officeDocument/2006/relationships/hyperlink" Id="rId408" Target="https://doi.org/10.1016/j.rse.2019.03.010" TargetMode="External" /><Relationship Type="http://schemas.openxmlformats.org/officeDocument/2006/relationships/hyperlink" Id="rId349" Target="https://doi.org/10.1016/j.rse.2019.111619" TargetMode="External" /><Relationship Type="http://schemas.openxmlformats.org/officeDocument/2006/relationships/hyperlink" Id="rId366" Target="https://doi.org/10.1016/j.rse.2021.112356" TargetMode="External" /><Relationship Type="http://schemas.openxmlformats.org/officeDocument/2006/relationships/hyperlink" Id="rId380" Target="https://doi.org/10.1016/j.rse.2021.112366" TargetMode="External" /><Relationship Type="http://schemas.openxmlformats.org/officeDocument/2006/relationships/hyperlink" Id="rId399" Target="https://doi.org/10.1016/j.rse.2022.112990" TargetMode="External" /><Relationship Type="http://schemas.openxmlformats.org/officeDocument/2006/relationships/hyperlink" Id="rId392" Target="https://doi.org/10.1016/j.rse.2024.114302" TargetMode="External" /><Relationship Type="http://schemas.openxmlformats.org/officeDocument/2006/relationships/hyperlink" Id="rId416" Target="https://doi.org/10.1016/j.rse.2024.114433" TargetMode="External" /><Relationship Type="http://schemas.openxmlformats.org/officeDocument/2006/relationships/hyperlink" Id="rId384" Target="https://doi.org/10.1016/j.rse.2024.114508" TargetMode="External" /><Relationship Type="http://schemas.openxmlformats.org/officeDocument/2006/relationships/hyperlink" Id="rId372" Target="https://doi.org/10.1029/1999JC900334" TargetMode="External" /><Relationship Type="http://schemas.openxmlformats.org/officeDocument/2006/relationships/hyperlink" Id="rId388" Target="https://doi.org/10.1038/nature20584" TargetMode="External" /><Relationship Type="http://schemas.openxmlformats.org/officeDocument/2006/relationships/hyperlink" Id="rId341" Target="https://doi.org/10.1038/s41597-022-01132-9" TargetMode="External" /><Relationship Type="http://schemas.openxmlformats.org/officeDocument/2006/relationships/hyperlink" Id="rId323" Target="https://doi.org/10.1080/01431161.2016.1157641" TargetMode="External" /><Relationship Type="http://schemas.openxmlformats.org/officeDocument/2006/relationships/hyperlink" Id="rId370" Target="https://doi.org/10.1080/014311699212434" TargetMode="External" /><Relationship Type="http://schemas.openxmlformats.org/officeDocument/2006/relationships/hyperlink" Id="rId339" Target="https://doi.org/10.1080/22797254.2018.1457937" TargetMode="External" /><Relationship Type="http://schemas.openxmlformats.org/officeDocument/2006/relationships/hyperlink" Id="rId368" Target="https://doi.org/10.13140/RG.2.2.23016.78081" TargetMode="External" /><Relationship Type="http://schemas.openxmlformats.org/officeDocument/2006/relationships/hyperlink" Id="rId347" Target="https://doi.org/10.1364/AO.23.001816" TargetMode="External" /><Relationship Type="http://schemas.openxmlformats.org/officeDocument/2006/relationships/hyperlink" Id="rId310" Target="https://doi.org/10.1364/AO.385853" TargetMode="External" /><Relationship Type="http://schemas.openxmlformats.org/officeDocument/2006/relationships/hyperlink" Id="rId374" Target="https://doi.org/10.1364/AO.41.006289" TargetMode="External" /><Relationship Type="http://schemas.openxmlformats.org/officeDocument/2006/relationships/hyperlink" Id="rId386" Target="https://doi.org/10.1364/AO.44.001236" TargetMode="External" /><Relationship Type="http://schemas.openxmlformats.org/officeDocument/2006/relationships/hyperlink" Id="rId357" Target="https://doi.org/10.1364/AO.50.003155" TargetMode="External" /><Relationship Type="http://schemas.openxmlformats.org/officeDocument/2006/relationships/hyperlink" Id="rId337" Target="https://doi.org/10.1364/AO.52.005631" TargetMode="External" /><Relationship Type="http://schemas.openxmlformats.org/officeDocument/2006/relationships/hyperlink" Id="rId279" Target="https://doi.org/10.1364/AO.53.001523" TargetMode="External" /><Relationship Type="http://schemas.openxmlformats.org/officeDocument/2006/relationships/hyperlink" Id="rId395" Target="https://doi.org/10.1364/AO.54.003748" TargetMode="External" /><Relationship Type="http://schemas.openxmlformats.org/officeDocument/2006/relationships/hyperlink" Id="rId283" Target="https://doi.org/10.1364/AO.546766" TargetMode="External" /><Relationship Type="http://schemas.openxmlformats.org/officeDocument/2006/relationships/hyperlink" Id="rId295" Target="https://doi.org/10.1364/AO.55.000010" TargetMode="External" /><Relationship Type="http://schemas.openxmlformats.org/officeDocument/2006/relationships/hyperlink" Id="rId418" Target="https://doi.org/10.1364/OE.25.0000A1" TargetMode="External" /><Relationship Type="http://schemas.openxmlformats.org/officeDocument/2006/relationships/hyperlink" Id="rId267" Target="https://doi.org/10.1371/journal.pone.0271477" TargetMode="External" /><Relationship Type="http://schemas.openxmlformats.org/officeDocument/2006/relationships/hyperlink" Id="rId287" Target="https://doi.org/10.3389/feart.2019.00014" TargetMode="External" /><Relationship Type="http://schemas.openxmlformats.org/officeDocument/2006/relationships/hyperlink" Id="rId301" Target="https://doi.org/10.3389/feart.2019.00145" TargetMode="External" /><Relationship Type="http://schemas.openxmlformats.org/officeDocument/2006/relationships/hyperlink" Id="rId289" Target="https://doi.org/10.3389/feart.2021.683136" TargetMode="External" /><Relationship Type="http://schemas.openxmlformats.org/officeDocument/2006/relationships/hyperlink" Id="rId406" Target="https://doi.org/10.3389/frsen.2024.1320454" TargetMode="External" /><Relationship Type="http://schemas.openxmlformats.org/officeDocument/2006/relationships/hyperlink" Id="rId335" Target="https://doi.org/10.3390/rs1040697" TargetMode="External" /><Relationship Type="http://schemas.openxmlformats.org/officeDocument/2006/relationships/hyperlink" Id="rId308" Target="https://doi.org/10.3390/rs11030220" TargetMode="External" /><Relationship Type="http://schemas.openxmlformats.org/officeDocument/2006/relationships/hyperlink" Id="rId333" Target="https://doi.org/10.3390/rs11040374" TargetMode="External" /><Relationship Type="http://schemas.openxmlformats.org/officeDocument/2006/relationships/hyperlink" Id="rId327" Target="https://doi.org/10.3390/rs11040469" TargetMode="External" /><Relationship Type="http://schemas.openxmlformats.org/officeDocument/2006/relationships/hyperlink" Id="rId291" Target="https://doi.org/10.3390/rs13152982" TargetMode="External" /><Relationship Type="http://schemas.openxmlformats.org/officeDocument/2006/relationships/hyperlink" Id="rId312" Target="https://doi.org/10.3390/rs13183581" TargetMode="External" /><Relationship Type="http://schemas.openxmlformats.org/officeDocument/2006/relationships/hyperlink" Id="rId306" Target="https://doi.org/10.3390/rs15051276" TargetMode="External" /><Relationship Type="http://schemas.openxmlformats.org/officeDocument/2006/relationships/hyperlink" Id="rId343" Target="https://doi.org/10.3390/rs16050843" TargetMode="External" /><Relationship Type="http://schemas.openxmlformats.org/officeDocument/2006/relationships/hyperlink" Id="rId271" Target="https://doi.org/10.3390/rs8060459" TargetMode="External" /><Relationship Type="http://schemas.openxmlformats.org/officeDocument/2006/relationships/hyperlink" Id="rId360" Target="https://doi.org/10.3390/rs8060523" TargetMode="External" /><Relationship Type="http://schemas.openxmlformats.org/officeDocument/2006/relationships/hyperlink" Id="rId401" Target="https://doi.org/10.3390/s21124125" TargetMode="External" /><Relationship Type="http://schemas.openxmlformats.org/officeDocument/2006/relationships/hyperlink" Id="rId285" Target="https://doi.org/10.4319/lom.2011.9.396" TargetMode="External" /><Relationship Type="http://schemas.openxmlformats.org/officeDocument/2006/relationships/hyperlink" Id="rId390" Target="https://doi.org/10.5281/zenodo.10357236" TargetMode="External" /><Relationship Type="http://schemas.openxmlformats.org/officeDocument/2006/relationships/hyperlink" Id="rId303" Target="https://doi.org/10.5285/1c44ce99-0a0d-5f4f-e063-7086abc0ea0f" TargetMode="External" /><Relationship Type="http://schemas.openxmlformats.org/officeDocument/2006/relationships/hyperlink" Id="rId316" Target="https://doi.org/10.58440/ihr-28-a14 " TargetMode="External" /><Relationship Type="http://schemas.openxmlformats.org/officeDocument/2006/relationships/hyperlink" Id="rId325" Target="https://iho.int/uploads/user/pubs/bathy/B_13_Ed100_032024.pdf" TargetMode="External" /><Relationship Type="http://schemas.openxmlformats.org/officeDocument/2006/relationships/hyperlink" Id="rId318" Target="https://land.copernicus.eu/en/technical-library/quality-assessment-report-for-lake-ice-extent-baltic-sea-region-250-m-raster/@@download/file" TargetMode="External" /><Relationship Type="http://schemas.openxmlformats.org/officeDocument/2006/relationships/hyperlink" Id="rId297" Target="https://repository.rit.edu/theses/8301" TargetMode="External" /><Relationship Type="http://schemas.openxmlformats.org/officeDocument/2006/relationships/hyperlink" Id="rId273" Target="https://sentiwiki.copernicus.eu/__attachments/1672112/S3-ACR-TN-007%20-%20Sentinel%203%20OLCI%20Level%200%20and%201B%20ATBD%202014%20-%205.0.pdf" TargetMode="External" /><Relationship Type="http://schemas.openxmlformats.org/officeDocument/2006/relationships/hyperlink" Id="rId293" Target="https://user.eumetsat.int/s3/eup-strapi-media/Sentinel_3_OLCI_L2_report_for_baseline_collection_OL_L2_M_003_2_B_c8bbc6d986.pdf" TargetMode="External" /><Relationship Type="http://schemas.openxmlformats.org/officeDocument/2006/relationships/hyperlink" Id="rId355" Target="https://user.eumetsat.int/s3/eup-strapi-media/pdf_s3_l2_atbd_glint_corr_6d7b828eec.pdf" TargetMode="External" /><Relationship Type="http://schemas.openxmlformats.org/officeDocument/2006/relationships/hyperlink" Id="rId353" Target="https://user.eumetsat.int/s3/eup-strapi-media/pdf_s3_l2_atbd_white_caps_corr_ac4301c8fe.pdf" TargetMode="External" /><Relationship Type="http://schemas.openxmlformats.org/officeDocument/2006/relationships/hyperlink" Id="rId331" Target="https://www.bipm.org/documents/20126/2071204/JCGM_GUM_6_2020.pdf" TargetMode="External" /><Relationship Type="http://schemas.openxmlformats.org/officeDocument/2006/relationships/hyperlink" Id="rId410" Target="https://www.star.nesdis.noaa.gov/jpss/documents/ATBD/ATBD_OceanColor_v1.0.pdf"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Aquatic Reflectance - Version 2.0.1-draft</dc:title>
  <dc:creator/>
  <dc:language>en</dc:language>
  <cp:keywords/>
  <dcterms:created xsi:type="dcterms:W3CDTF">2026-09-15T19:03:16Z</dcterms:created>
  <dcterms:modified xsi:type="dcterms:W3CDTF">2026-09-15T19:03:16Z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/home/runner/work/ceos-ard/ceos-ard/build/AR.bib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