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189" w:name="ceos-ard---optical---surface-temperature"/>
    <w:p>
      <w:pPr>
        <w:pStyle w:val="berschrift1"/>
      </w:pPr>
      <w:r>
        <w:t xml:space="preserve">CEOS-ARD - Optical - Surface Temperature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Surface Temperature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0" w:name="major"/>
    <w:p>
      <w:pPr>
        <w:pStyle w:val="berschrift3"/>
      </w:pPr>
      <w:r>
        <w:t xml:space="preserve">2026-08-14 (MAJOR)</w:t>
      </w:r>
    </w:p>
    <w:p>
      <w:pPr>
        <w:pStyle w:val="FirstParagraph"/>
      </w:pPr>
      <w:r>
        <w:rPr>
          <w:b/>
          <w:bCs/>
        </w:rPr>
        <w:t xml:space="preserve">This is a breaking change!</w:t>
      </w:r>
    </w:p>
    <w:p>
      <w:pPr>
        <w:pStyle w:val="Compact"/>
        <w:numPr>
          <w:ilvl w:val="0"/>
          <w:numId w:val="1001"/>
        </w:numPr>
      </w:pPr>
      <w:r>
        <w:t xml:space="preserve">Created separate requirements for</w:t>
      </w:r>
      <w:r>
        <w:t xml:space="preserve"> </w:t>
      </w:r>
      <w:r>
        <w:t xml:space="preserve">‘Corrections for Atmosphere’</w:t>
      </w:r>
      <w:r>
        <w:t xml:space="preserve"> </w:t>
      </w:r>
      <w:r>
        <w:t xml:space="preserve">and</w:t>
      </w:r>
      <w:r>
        <w:t xml:space="preserve"> </w:t>
      </w:r>
      <w:r>
        <w:t xml:space="preserve">‘Adjustments for Emissivity and Anisotropy’</w:t>
      </w:r>
      <w:r>
        <w:t xml:space="preserve">. Per-pixel emissivity information is now required at Threshold.</w:t>
      </w:r>
    </w:p>
    <w:p>
      <w:pPr>
        <w:pStyle w:val="Compact"/>
        <w:numPr>
          <w:ilvl w:val="0"/>
          <w:numId w:val="1001"/>
        </w:numPr>
      </w:pPr>
      <w:r>
        <w:t xml:space="preserve">Introduced a Threshold requirement for</w:t>
      </w:r>
      <w:r>
        <w:t xml:space="preserve"> </w:t>
      </w:r>
      <w:r>
        <w:t xml:space="preserve">‘Measurement Uncertainty’</w:t>
      </w:r>
      <w:r>
        <w:t xml:space="preserve">.</w:t>
      </w:r>
    </w:p>
    <w:p>
      <w:pPr>
        <w:pStyle w:val="Compact"/>
        <w:numPr>
          <w:ilvl w:val="0"/>
          <w:numId w:val="1001"/>
        </w:numPr>
      </w:pPr>
      <w:r>
        <w:t xml:space="preserve">Renamed</w:t>
      </w:r>
      <w:r>
        <w:t xml:space="preserve"> </w:t>
      </w:r>
      <w:r>
        <w:t xml:space="preserve">‘Measurement’</w:t>
      </w:r>
      <w:r>
        <w:t xml:space="preserve"> </w:t>
      </w:r>
      <w:r>
        <w:t xml:space="preserve">to</w:t>
      </w:r>
      <w:r>
        <w:t xml:space="preserve"> </w:t>
      </w:r>
      <w:r>
        <w:t xml:space="preserve">‘Measurand’</w:t>
      </w:r>
    </w:p>
    <w:p>
      <w:pPr>
        <w:pStyle w:val="Compact"/>
        <w:numPr>
          <w:ilvl w:val="0"/>
          <w:numId w:val="1001"/>
        </w:numPr>
      </w:pPr>
      <w:r>
        <w:t xml:space="preserve">Removed threshold requirement for</w:t>
      </w:r>
      <w:r>
        <w:t xml:space="preserve"> </w:t>
      </w:r>
      <w:r>
        <w:t xml:space="preserve">‘Algorithms’</w:t>
      </w:r>
      <w:r>
        <w:t xml:space="preserve">.</w:t>
      </w:r>
    </w:p>
    <w:p>
      <w:pPr>
        <w:pStyle w:val="Compact"/>
        <w:numPr>
          <w:ilvl w:val="0"/>
          <w:numId w:val="1001"/>
        </w:numPr>
      </w:pPr>
      <w:r>
        <w:t xml:space="preserve">Introduced Per-pixel Goal requirement for</w:t>
      </w:r>
      <w:r>
        <w:t xml:space="preserve"> </w:t>
      </w:r>
      <w:r>
        <w:t xml:space="preserve">‘Terrain Occlusion’</w:t>
      </w:r>
      <w:r>
        <w:t xml:space="preserve">.</w:t>
      </w:r>
    </w:p>
    <w:p>
      <w:pPr>
        <w:pStyle w:val="Compact"/>
        <w:numPr>
          <w:ilvl w:val="0"/>
          <w:numId w:val="1001"/>
        </w:numPr>
      </w:pPr>
      <w:r>
        <w:t xml:space="preserve">Replaced</w:t>
      </w:r>
      <w:r>
        <w:t xml:space="preserve"> </w:t>
      </w:r>
      <w:r>
        <w:t xml:space="preserve">‘Snow/Ice’</w:t>
      </w:r>
      <w:r>
        <w:t xml:space="preserve"> </w:t>
      </w:r>
      <w:r>
        <w:t xml:space="preserve">mask with</w:t>
      </w:r>
      <w:r>
        <w:t xml:space="preserve"> </w:t>
      </w:r>
      <w:r>
        <w:t xml:space="preserve">‘Surface’</w:t>
      </w:r>
      <w:r>
        <w:t xml:space="preserve">, covering Land/Water at Threshold and Snow/Ice at Goal.</w:t>
      </w:r>
    </w:p>
    <w:p>
      <w:pPr>
        <w:pStyle w:val="Compact"/>
        <w:numPr>
          <w:ilvl w:val="0"/>
          <w:numId w:val="1001"/>
        </w:numPr>
      </w:pPr>
      <w:r>
        <w:t xml:space="preserve">Updated</w:t>
      </w:r>
      <w:r>
        <w:t xml:space="preserve"> </w:t>
      </w:r>
      <w:r>
        <w:t xml:space="preserve">‘Cloud’</w:t>
      </w:r>
      <w:r>
        <w:t xml:space="preserve"> </w:t>
      </w:r>
      <w:r>
        <w:t xml:space="preserve">and</w:t>
      </w:r>
      <w:r>
        <w:t xml:space="preserve"> </w:t>
      </w:r>
      <w:r>
        <w:t xml:space="preserve">‘Cloud Shadow’</w:t>
      </w:r>
      <w:r>
        <w:t xml:space="preserve"> </w:t>
      </w:r>
      <w:r>
        <w:t xml:space="preserve">requirements to align more closely with the AR PFS v2.0 and the suitability of cloud shadow for non-reflectance methods.</w:t>
      </w:r>
    </w:p>
    <w:p>
      <w:pPr>
        <w:pStyle w:val="Compact"/>
        <w:numPr>
          <w:ilvl w:val="0"/>
          <w:numId w:val="1001"/>
        </w:numPr>
      </w:pPr>
      <w:r>
        <w:t xml:space="preserve">Updated</w:t>
      </w:r>
      <w:r>
        <w:t xml:space="preserve"> </w:t>
      </w:r>
      <w:r>
        <w:t xml:space="preserve">‘No Data’</w:t>
      </w:r>
      <w:r>
        <w:t xml:space="preserve"> </w:t>
      </w:r>
      <w:r>
        <w:t xml:space="preserve">requirement to address https://github.com/ceos-org/ceos-ard/issues/4.</w:t>
      </w:r>
    </w:p>
    <w:p>
      <w:pPr>
        <w:pStyle w:val="Compact"/>
        <w:numPr>
          <w:ilvl w:val="0"/>
          <w:numId w:val="1001"/>
        </w:numPr>
      </w:pPr>
      <w:r>
        <w:t xml:space="preserve">Updated</w:t>
      </w:r>
      <w:r>
        <w:t xml:space="preserve"> </w:t>
      </w:r>
      <w:r>
        <w:t xml:space="preserve">‘Incomplete Testing’</w:t>
      </w:r>
      <w:r>
        <w:t xml:space="preserve"> </w:t>
      </w:r>
      <w:r>
        <w:t xml:space="preserve">requirement to aid machine readability / automated assessment.</w:t>
      </w:r>
    </w:p>
    <w:p>
      <w:pPr>
        <w:pStyle w:val="Compact"/>
        <w:numPr>
          <w:ilvl w:val="0"/>
          <w:numId w:val="1001"/>
        </w:numPr>
      </w:pPr>
      <w:r>
        <w:t xml:space="preserve">Removed redundant</w:t>
      </w:r>
      <w:r>
        <w:t xml:space="preserve"> </w:t>
      </w:r>
      <w:r>
        <w:t xml:space="preserve">‘Metadata Machine Readability’</w:t>
      </w:r>
      <w:r>
        <w:t xml:space="preserve"> </w:t>
      </w:r>
      <w:r>
        <w:t xml:space="preserve">requirement from Per-pixel Metadata.</w:t>
      </w:r>
    </w:p>
    <w:p>
      <w:pPr>
        <w:pStyle w:val="Compact"/>
        <w:numPr>
          <w:ilvl w:val="0"/>
          <w:numId w:val="1001"/>
        </w:numPr>
      </w:pPr>
      <w:r>
        <w:t xml:space="preserve">Replaced General Metadata Percentage of Valid Observations requirement with Valid Pixels</w:t>
      </w:r>
    </w:p>
    <w:p>
      <w:pPr>
        <w:pStyle w:val="Compact"/>
        <w:numPr>
          <w:ilvl w:val="0"/>
          <w:numId w:val="1001"/>
        </w:numPr>
      </w:pPr>
      <w:r>
        <w:t xml:space="preserve">Introduced a new Processing Chain Provenance requirement, where Threshold = Reconstructibility, Goal = Reproducibility.</w:t>
      </w:r>
    </w:p>
    <w:p>
      <w:pPr>
        <w:pStyle w:val="Compact"/>
        <w:numPr>
          <w:ilvl w:val="0"/>
          <w:numId w:val="1001"/>
        </w:numPr>
      </w:pPr>
      <w:r>
        <w:t xml:space="preserve">Removed</w:t>
      </w:r>
      <w:r>
        <w:t xml:space="preserve"> </w:t>
      </w:r>
      <w:r>
        <w:t xml:space="preserve">‘Radiometric Accuracy’</w:t>
      </w:r>
      <w:r>
        <w:t xml:space="preserve"> </w:t>
      </w:r>
      <w:r>
        <w:t xml:space="preserve">requirement.</w:t>
      </w:r>
    </w:p>
    <w:p>
      <w:pPr>
        <w:pStyle w:val="Compact"/>
        <w:numPr>
          <w:ilvl w:val="0"/>
          <w:numId w:val="1001"/>
        </w:numPr>
      </w:pPr>
      <w:r>
        <w:t xml:space="preserve">Adopted AR PFS v2.0 requirements for</w:t>
      </w:r>
      <w:r>
        <w:t xml:space="preserve"> </w:t>
      </w:r>
      <w:r>
        <w:t xml:space="preserve">‘Auxiliary Data’</w:t>
      </w:r>
      <w:r>
        <w:t xml:space="preserve">,</w:t>
      </w:r>
      <w:r>
        <w:t xml:space="preserve"> </w:t>
      </w:r>
      <w:r>
        <w:t xml:space="preserve">‘Measurand Uncertainty’</w:t>
      </w:r>
      <w:r>
        <w:t xml:space="preserve">,</w:t>
      </w:r>
      <w:r>
        <w:t xml:space="preserve"> </w:t>
      </w:r>
      <w:r>
        <w:t xml:space="preserve">‘Encoding’</w:t>
      </w:r>
      <w:r>
        <w:t xml:space="preserve">,</w:t>
      </w:r>
      <w:r>
        <w:t xml:space="preserve"> </w:t>
      </w:r>
      <w:r>
        <w:t xml:space="preserve">‘Sensor Calibration’</w:t>
      </w:r>
      <w:r>
        <w:t xml:space="preserve">,</w:t>
      </w:r>
      <w:r>
        <w:t xml:space="preserve"> </w:t>
      </w:r>
      <w:r>
        <w:t xml:space="preserve">‘Spectral Bands’</w:t>
      </w:r>
      <w:r>
        <w:t xml:space="preserve">,</w:t>
      </w:r>
      <w:r>
        <w:t xml:space="preserve"> </w:t>
      </w:r>
      <w:r>
        <w:t xml:space="preserve">‘Instrument’</w:t>
      </w:r>
      <w:r>
        <w:t xml:space="preserve">,</w:t>
      </w:r>
      <w:r>
        <w:t xml:space="preserve"> </w:t>
      </w:r>
      <w:r>
        <w:t xml:space="preserve">‘Geometric Uncertainty of the Data’</w:t>
      </w:r>
      <w:r>
        <w:t xml:space="preserve">,</w:t>
      </w:r>
      <w:r>
        <w:t xml:space="preserve"> </w:t>
      </w:r>
      <w:r>
        <w:t xml:space="preserve">‘Geometric Correction Methods’</w:t>
      </w:r>
      <w:r>
        <w:t xml:space="preserve">,</w:t>
      </w:r>
      <w:r>
        <w:t xml:space="preserve"> </w:t>
      </w:r>
      <w:r>
        <w:t xml:space="preserve">‘Map Projection’</w:t>
      </w:r>
      <w:r>
        <w:t xml:space="preserve">, and</w:t>
      </w:r>
      <w:r>
        <w:t xml:space="preserve"> </w:t>
      </w:r>
      <w:r>
        <w:t xml:space="preserve">‘Data Collection Time’</w:t>
      </w:r>
      <w:r>
        <w:t xml:space="preserve">.</w:t>
      </w:r>
    </w:p>
    <w:p>
      <w:pPr>
        <w:pStyle w:val="Compact"/>
        <w:numPr>
          <w:ilvl w:val="0"/>
          <w:numId w:val="1001"/>
        </w:numPr>
      </w:pPr>
      <w:r>
        <w:t xml:space="preserve">Aligned with other optical PFS where the ST PFS had minor editorial differences.</w:t>
      </w:r>
    </w:p>
    <w:p>
      <w:pPr>
        <w:pStyle w:val="FirstParagraph"/>
      </w:pPr>
      <w:r>
        <w:rPr>
          <w:b/>
          <w:bCs/>
        </w:rPr>
        <w:t xml:space="preserve">Justification:</w:t>
      </w:r>
      <w:r>
        <w:t xml:space="preserve"> </w:t>
      </w:r>
      <w:r>
        <w:t xml:space="preserve">Update to address evolving landscape of thermal missions, including capabilities of the commercial sector and user needs. Closer alignment with more recently updated PFS. Changes also reflect recent CEOS-ARD Oversight Group discussions, swapping strict threshold requirements for algorithms in favour of uncertainty information.</w:t>
      </w:r>
    </w:p>
    <w:p>
      <w:pPr>
        <w:pStyle w:val="Textkrper"/>
      </w:pPr>
      <w:r>
        <w:rPr>
          <w:b/>
          <w:bCs/>
        </w:rPr>
        <w:t xml:space="preserve">Editor:</w:t>
      </w:r>
      <w:r>
        <w:t xml:space="preserve"> </w:t>
      </w:r>
      <w:r>
        <w:t xml:space="preserve">Harvey Jones</w:t>
      </w:r>
    </w:p>
    <w:bookmarkEnd w:id="30"/>
    <w:bookmarkStart w:id="31" w:name="patch"/>
    <w:p>
      <w:pPr>
        <w:pStyle w:val="berschrift3"/>
      </w:pPr>
      <w:r>
        <w:t xml:space="preserve">2026-03-26 (PATCH)</w:t>
      </w:r>
    </w:p>
    <w:p>
      <w:pPr>
        <w:pStyle w:val="Compact"/>
        <w:numPr>
          <w:ilvl w:val="0"/>
          <w:numId w:val="1002"/>
        </w:numPr>
      </w:pPr>
      <w:r>
        <w:t xml:space="preserve">Renamed CARD4L to CEOS-ARD</w:t>
      </w:r>
    </w:p>
    <w:p>
      <w:pPr>
        <w:pStyle w:val="Compact"/>
        <w:numPr>
          <w:ilvl w:val="0"/>
          <w:numId w:val="1002"/>
        </w:numPr>
      </w:pPr>
      <w:r>
        <w:t xml:space="preserve">Restructured the document; removed empty or unused parts</w:t>
      </w:r>
    </w:p>
    <w:p>
      <w:pPr>
        <w:pStyle w:val="Compact"/>
        <w:numPr>
          <w:ilvl w:val="0"/>
          <w:numId w:val="1002"/>
        </w:numPr>
      </w:pPr>
      <w:r>
        <w:t xml:space="preserve">Split</w:t>
      </w:r>
      <w:r>
        <w:t xml:space="preserve"> </w:t>
      </w:r>
      <w:r>
        <w:t xml:space="preserve">“Applies to”</w:t>
      </w:r>
      <w:r>
        <w:t xml:space="preserve"> </w:t>
      </w:r>
      <w:r>
        <w:t xml:space="preserve">section into</w:t>
      </w:r>
      <w:r>
        <w:t xml:space="preserve"> </w:t>
      </w:r>
      <w:r>
        <w:t xml:space="preserve">“Applies to”</w:t>
      </w:r>
      <w:r>
        <w:t xml:space="preserve"> </w:t>
      </w:r>
      <w:r>
        <w:t xml:space="preserve">and</w:t>
      </w:r>
      <w:r>
        <w:t xml:space="preserve"> </w:t>
      </w:r>
      <w:r>
        <w:t xml:space="preserve">“Background”</w:t>
      </w:r>
      <w:r>
        <w:t xml:space="preserve"> </w:t>
      </w:r>
      <w:r>
        <w:t xml:space="preserve">sections</w:t>
      </w:r>
    </w:p>
    <w:p>
      <w:pPr>
        <w:pStyle w:val="Compact"/>
        <w:numPr>
          <w:ilvl w:val="0"/>
          <w:numId w:val="1002"/>
        </w:numPr>
      </w:pPr>
      <w:r>
        <w:t xml:space="preserve">Document history has been reset. Check the previous versions for details</w:t>
      </w:r>
    </w:p>
    <w:p>
      <w:pPr>
        <w:pStyle w:val="Compact"/>
        <w:numPr>
          <w:ilvl w:val="0"/>
          <w:numId w:val="1002"/>
        </w:numPr>
      </w:pPr>
      <w:r>
        <w:t xml:space="preserve">Numerical identifiers were rotated and are deprecated; new textual identifiers have been added</w:t>
      </w:r>
    </w:p>
    <w:p>
      <w:pPr>
        <w:pStyle w:val="Compact"/>
        <w:numPr>
          <w:ilvl w:val="0"/>
          <w:numId w:val="1002"/>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2"/>
        </w:numPr>
      </w:pPr>
      <w:r>
        <w:t xml:space="preserve">If no threshold requirement applies, the wording has been made consistent (e.g. former req. 1.7 and 1.8).</w:t>
      </w:r>
    </w:p>
    <w:p>
      <w:pPr>
        <w:pStyle w:val="Compact"/>
        <w:numPr>
          <w:ilvl w:val="0"/>
          <w:numId w:val="1002"/>
        </w:numPr>
      </w:pPr>
      <w:r>
        <w:t xml:space="preserve">Former req. 1.9: Removed</w:t>
      </w:r>
      <w:r>
        <w:t xml:space="preserve"> </w:t>
      </w:r>
      <w:r>
        <w:t xml:space="preserve">“on instrument”</w:t>
      </w:r>
      <w:r>
        <w:t xml:space="preserve"> </w:t>
      </w:r>
      <w:r>
        <w:t xml:space="preserve">from</w:t>
      </w:r>
      <w:r>
        <w:t xml:space="preserve"> </w:t>
      </w:r>
      <w:r>
        <w:t xml:space="preserve">“As threshold, but information on instrument should be available”</w:t>
      </w:r>
      <w:r>
        <w:t xml:space="preserve">.</w:t>
      </w:r>
    </w:p>
    <w:p>
      <w:pPr>
        <w:pStyle w:val="Compact"/>
        <w:numPr>
          <w:ilvl w:val="0"/>
          <w:numId w:val="1002"/>
        </w:numPr>
      </w:pPr>
      <w:r>
        <w:t xml:space="preserve">Former req. 2.3: Replaced the wording</w:t>
      </w:r>
      <w:r>
        <w:t xml:space="preserve"> </w:t>
      </w:r>
      <w:r>
        <w:t xml:space="preserve">“e.g., due to missing ancillary data for some pixels.”</w:t>
      </w:r>
      <w:r>
        <w:t xml:space="preserve"> </w:t>
      </w:r>
      <w:r>
        <w:t xml:space="preserve">with</w:t>
      </w:r>
      <w:r>
        <w:t xml:space="preserve"> </w:t>
      </w:r>
      <w:r>
        <w:t xml:space="preserve">“This may be the result of missing ancillary data for a subset of the pixels.”</w:t>
      </w:r>
    </w:p>
    <w:p>
      <w:pPr>
        <w:pStyle w:val="Compact"/>
        <w:numPr>
          <w:ilvl w:val="0"/>
          <w:numId w:val="1002"/>
        </w:numPr>
      </w:pPr>
      <w:r>
        <w:t xml:space="preserve">Annex has been reformatted and updated</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3"/>
        </w:numPr>
      </w:pPr>
      <w:r>
        <w:t xml:space="preserve">Mathias Gergely (Aistech Space)</w:t>
      </w:r>
    </w:p>
    <w:p>
      <w:pPr>
        <w:pStyle w:val="Compact"/>
        <w:numPr>
          <w:ilvl w:val="0"/>
          <w:numId w:val="1003"/>
        </w:numPr>
      </w:pPr>
      <w:r>
        <w:t xml:space="preserve">Harvey Jones (CEOS-ARD Secretariat)</w:t>
      </w:r>
    </w:p>
    <w:p>
      <w:pPr>
        <w:pStyle w:val="Compact"/>
        <w:numPr>
          <w:ilvl w:val="0"/>
          <w:numId w:val="1003"/>
        </w:numPr>
      </w:pPr>
      <w:r>
        <w:t xml:space="preserve">Emilie Delogu (CNES)</w:t>
      </w:r>
    </w:p>
    <w:p>
      <w:pPr>
        <w:pStyle w:val="Compact"/>
        <w:numPr>
          <w:ilvl w:val="0"/>
          <w:numId w:val="1003"/>
        </w:numPr>
      </w:pPr>
      <w:r>
        <w:t xml:space="preserve">Andreas Brunn (Constellr)</w:t>
      </w:r>
    </w:p>
    <w:p>
      <w:pPr>
        <w:pStyle w:val="Compact"/>
        <w:numPr>
          <w:ilvl w:val="0"/>
          <w:numId w:val="1003"/>
        </w:numPr>
      </w:pPr>
      <w:r>
        <w:t xml:space="preserve">Andreas Dietz (DLR)</w:t>
      </w:r>
    </w:p>
    <w:p>
      <w:pPr>
        <w:pStyle w:val="Compact"/>
        <w:numPr>
          <w:ilvl w:val="0"/>
          <w:numId w:val="1003"/>
        </w:numPr>
      </w:pPr>
      <w:r>
        <w:t xml:space="preserve">Philipp Reiners (DLR)</w:t>
      </w:r>
    </w:p>
    <w:p>
      <w:pPr>
        <w:pStyle w:val="Compact"/>
        <w:numPr>
          <w:ilvl w:val="0"/>
          <w:numId w:val="1003"/>
        </w:numPr>
      </w:pPr>
      <w:r>
        <w:t xml:space="preserve">Fraser Parlane (EarthDaily)</w:t>
      </w:r>
    </w:p>
    <w:p>
      <w:pPr>
        <w:pStyle w:val="Compact"/>
        <w:numPr>
          <w:ilvl w:val="0"/>
          <w:numId w:val="1003"/>
        </w:numPr>
      </w:pPr>
      <w:r>
        <w:t xml:space="preserve">Peter Strobl (EC)</w:t>
      </w:r>
    </w:p>
    <w:p>
      <w:pPr>
        <w:pStyle w:val="Compact"/>
        <w:numPr>
          <w:ilvl w:val="0"/>
          <w:numId w:val="1003"/>
        </w:numPr>
      </w:pPr>
      <w:r>
        <w:t xml:space="preserve">Silvia Scifoni (ESA/Serco)</w:t>
      </w:r>
    </w:p>
    <w:p>
      <w:pPr>
        <w:pStyle w:val="Compact"/>
        <w:numPr>
          <w:ilvl w:val="0"/>
          <w:numId w:val="1003"/>
        </w:numPr>
      </w:pPr>
      <w:r>
        <w:t xml:space="preserve">Adam Lewis (Geoscience Australia)</w:t>
      </w:r>
    </w:p>
    <w:p>
      <w:pPr>
        <w:pStyle w:val="Compact"/>
        <w:numPr>
          <w:ilvl w:val="0"/>
          <w:numId w:val="1003"/>
        </w:numPr>
      </w:pPr>
      <w:r>
        <w:t xml:space="preserve">Jonathon Ross (Geoscience Australia)</w:t>
      </w:r>
    </w:p>
    <w:p>
      <w:pPr>
        <w:pStyle w:val="Compact"/>
        <w:numPr>
          <w:ilvl w:val="0"/>
          <w:numId w:val="1003"/>
        </w:numPr>
      </w:pPr>
      <w:r>
        <w:t xml:space="preserve">Andreia Siqueira (Geoscience Australia)</w:t>
      </w:r>
    </w:p>
    <w:p>
      <w:pPr>
        <w:pStyle w:val="Compact"/>
        <w:numPr>
          <w:ilvl w:val="0"/>
          <w:numId w:val="1003"/>
        </w:numPr>
      </w:pPr>
      <w:r>
        <w:t xml:space="preserve">Siri Jodha Khalsa (IEEE)</w:t>
      </w:r>
    </w:p>
    <w:p>
      <w:pPr>
        <w:pStyle w:val="Compact"/>
        <w:numPr>
          <w:ilvl w:val="0"/>
          <w:numId w:val="1003"/>
        </w:numPr>
      </w:pPr>
      <w:r>
        <w:t xml:space="preserve">Jean-Francois Piolle (IFREMER)</w:t>
      </w:r>
    </w:p>
    <w:p>
      <w:pPr>
        <w:pStyle w:val="Compact"/>
        <w:numPr>
          <w:ilvl w:val="0"/>
          <w:numId w:val="1003"/>
        </w:numPr>
      </w:pPr>
      <w:r>
        <w:t xml:space="preserve">Misako Kachi (JAXA)</w:t>
      </w:r>
    </w:p>
    <w:p>
      <w:pPr>
        <w:pStyle w:val="Compact"/>
        <w:numPr>
          <w:ilvl w:val="0"/>
          <w:numId w:val="1003"/>
        </w:numPr>
      </w:pPr>
      <w:r>
        <w:t xml:space="preserve">Matthias Mohr (MoreGeo)</w:t>
      </w:r>
    </w:p>
    <w:p>
      <w:pPr>
        <w:pStyle w:val="Compact"/>
        <w:numPr>
          <w:ilvl w:val="0"/>
          <w:numId w:val="1003"/>
        </w:numPr>
      </w:pPr>
      <w:r>
        <w:t xml:space="preserve">Edward M. Armstrong (NASA/JPL/CalTech)</w:t>
      </w:r>
    </w:p>
    <w:p>
      <w:pPr>
        <w:pStyle w:val="Compact"/>
        <w:numPr>
          <w:ilvl w:val="0"/>
          <w:numId w:val="1003"/>
        </w:numPr>
      </w:pPr>
      <w:r>
        <w:t xml:space="preserve">Mark de Jong (NRCan)</w:t>
      </w:r>
    </w:p>
    <w:p>
      <w:pPr>
        <w:pStyle w:val="Compact"/>
        <w:numPr>
          <w:ilvl w:val="0"/>
          <w:numId w:val="1003"/>
        </w:numPr>
      </w:pPr>
      <w:r>
        <w:t xml:space="preserve">Anastasia Sarelli (OroraTech)</w:t>
      </w:r>
    </w:p>
    <w:p>
      <w:pPr>
        <w:pStyle w:val="Compact"/>
        <w:numPr>
          <w:ilvl w:val="0"/>
          <w:numId w:val="1003"/>
        </w:numPr>
      </w:pPr>
      <w:r>
        <w:t xml:space="preserve">Josephine Wong (OroraTech)</w:t>
      </w:r>
    </w:p>
    <w:p>
      <w:pPr>
        <w:pStyle w:val="Compact"/>
        <w:numPr>
          <w:ilvl w:val="0"/>
          <w:numId w:val="1003"/>
        </w:numPr>
      </w:pPr>
      <w:r>
        <w:t xml:space="preserve">Daniel Evans (SatVu)</w:t>
      </w:r>
    </w:p>
    <w:p>
      <w:pPr>
        <w:pStyle w:val="Compact"/>
        <w:numPr>
          <w:ilvl w:val="0"/>
          <w:numId w:val="1003"/>
        </w:numPr>
      </w:pPr>
      <w:r>
        <w:t xml:space="preserve">Jamie McMillan (SatVu)</w:t>
      </w:r>
    </w:p>
    <w:p>
      <w:pPr>
        <w:pStyle w:val="Compact"/>
        <w:numPr>
          <w:ilvl w:val="0"/>
          <w:numId w:val="1003"/>
        </w:numPr>
      </w:pPr>
      <w:r>
        <w:t xml:space="preserve">Darren Ghent (University of Leicester)</w:t>
      </w:r>
    </w:p>
    <w:p>
      <w:pPr>
        <w:pStyle w:val="Compact"/>
        <w:numPr>
          <w:ilvl w:val="0"/>
          <w:numId w:val="1003"/>
        </w:numPr>
      </w:pPr>
      <w:r>
        <w:t xml:space="preserve">Chase Mueller (USGS)</w:t>
      </w:r>
    </w:p>
    <w:p>
      <w:pPr>
        <w:pStyle w:val="Compact"/>
        <w:numPr>
          <w:ilvl w:val="0"/>
          <w:numId w:val="1003"/>
        </w:numPr>
      </w:pPr>
      <w:r>
        <w:t xml:space="preserve">Chris Barnes (USGS)</w:t>
      </w:r>
    </w:p>
    <w:p>
      <w:pPr>
        <w:pStyle w:val="Compact"/>
        <w:numPr>
          <w:ilvl w:val="0"/>
          <w:numId w:val="1003"/>
        </w:numPr>
      </w:pPr>
      <w:r>
        <w:t xml:space="preserve">Darcie Bontje (USGS)</w:t>
      </w:r>
    </w:p>
    <w:p>
      <w:pPr>
        <w:pStyle w:val="Compact"/>
        <w:numPr>
          <w:ilvl w:val="0"/>
          <w:numId w:val="1003"/>
        </w:numPr>
      </w:pPr>
      <w:r>
        <w:t xml:space="preserve">Mary Metzger (USGS)</w:t>
      </w:r>
    </w:p>
    <w:p>
      <w:pPr>
        <w:pStyle w:val="Compact"/>
        <w:numPr>
          <w:ilvl w:val="0"/>
          <w:numId w:val="1003"/>
        </w:numPr>
      </w:pPr>
      <w:r>
        <w:t xml:space="preserve">Steve Labahn (USGS)</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Optical, Surface Temperature (ST)</w:t>
      </w:r>
    </w:p>
    <w:p>
      <w:pPr>
        <w:pStyle w:val="Textkrper"/>
      </w:pPr>
      <w:r>
        <w:rPr>
          <w:b/>
          <w:bCs/>
        </w:rPr>
        <w:t xml:space="preserve">Version:</w:t>
      </w:r>
      <w:r>
        <w:t xml:space="preserve"> </w:t>
      </w:r>
      <w:r>
        <w:t xml:space="preserve">6.0.0-draft</w:t>
      </w:r>
    </w:p>
    <w:p>
      <w:pPr>
        <w:pStyle w:val="Textkrper"/>
      </w:pPr>
      <w:r>
        <w:rPr>
          <w:b/>
          <w:bCs/>
        </w:rPr>
        <w:t xml:space="preserve">Applies to:</w:t>
      </w:r>
      <w:r>
        <w:t xml:space="preserve"> </w:t>
      </w:r>
      <w:r>
        <w:t xml:space="preserve">Data collected with satellite sensors operating in the thermal infrared (TIR and MWIR) and microwave wavelengths. These typically operate with ground sample distance and resolution in the order 1 dm - 50 km however the specification is not inherently limited to these resolutions.</w:t>
      </w:r>
    </w:p>
    <w:bookmarkEnd w:id="35"/>
    <w:bookmarkStart w:id="36" w:name="background"/>
    <w:p>
      <w:pPr>
        <w:pStyle w:val="berschrift2"/>
      </w:pPr>
      <w:r>
        <w:t xml:space="preserve">Background</w:t>
      </w:r>
    </w:p>
    <w:p>
      <w:pPr>
        <w:pStyle w:val="FirstParagraph"/>
      </w:pPr>
      <w:r>
        <w:t xml:space="preserve">Remotely sensed surface temperature measurements tend to be provided as surface brightness temperature (SBT), land surface temperature (LST), water surface temperature (WST), or ice surface temperature (IST), where LST, WST, and IST are derived from SBT accounting for the emissivity of the target. This specification identifies Surface Temperature (ST), including but not limited to LST, WST, and IST, as the minimum or threshold requirement for analysis ready surface data.</w:t>
      </w:r>
    </w:p>
    <w:p>
      <w:r>
        <w:br w:type="page"/>
      </w:r>
    </w:p>
    <w:bookmarkEnd w:id="36"/>
    <w:bookmarkStart w:id="37" w:name="definitions-and-abbreviations"/>
    <w:p>
      <w:pPr>
        <w:pStyle w:val="berschrift2"/>
      </w:pPr>
      <w:r>
        <w:t xml:space="preserve">Definitions and Abbreviations</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LST</w:t>
      </w:r>
    </w:p>
    <w:p>
      <w:pPr>
        <w:pStyle w:val="Definition"/>
      </w:pPr>
      <w:r>
        <w:t xml:space="preserve">Land Surface Temperature</w:t>
      </w:r>
    </w:p>
    <w:p>
      <w:pPr>
        <w:pStyle w:val="DefinitionTerm"/>
      </w:pPr>
      <w:r>
        <w:t xml:space="preserve">rRMSE</w:t>
      </w:r>
    </w:p>
    <w:p>
      <w:pPr>
        <w:pStyle w:val="Definition"/>
      </w:pPr>
      <w:r>
        <w:t xml:space="preserve">Radial Root Mean Square Error</w:t>
      </w:r>
    </w:p>
    <w:p>
      <w:pPr>
        <w:pStyle w:val="DefinitionTerm"/>
      </w:pPr>
      <w:r>
        <w:t xml:space="preserve">SBT</w:t>
      </w:r>
    </w:p>
    <w:p>
      <w:pPr>
        <w:pStyle w:val="Definition"/>
      </w:pPr>
      <w:r>
        <w:t xml:space="preserve">Surface Brightness Temperature</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ST</w:t>
      </w:r>
    </w:p>
    <w:p>
      <w:pPr>
        <w:pStyle w:val="Definition"/>
      </w:pPr>
      <w:r>
        <w:t xml:space="preserve">Surface Temperature</w:t>
      </w:r>
    </w:p>
    <w:p>
      <w:pPr>
        <w:pStyle w:val="DefinitionTerm"/>
      </w:pPr>
      <w:r>
        <w:t xml:space="preserve">TIR</w:t>
      </w:r>
    </w:p>
    <w:p>
      <w:pPr>
        <w:pStyle w:val="Definition"/>
      </w:pPr>
      <w:r>
        <w:t xml:space="preserve">Thermal Infrared</w:t>
      </w:r>
    </w:p>
    <w:p>
      <w:pPr>
        <w:pStyle w:val="DefinitionTerm"/>
      </w:pPr>
      <w:r>
        <w:t xml:space="preserve">UTC</w:t>
      </w:r>
    </w:p>
    <w:p>
      <w:pPr>
        <w:pStyle w:val="Definition"/>
      </w:pPr>
      <w:r>
        <w:t xml:space="preserve">Coordinated Universal Time</w:t>
      </w:r>
    </w:p>
    <w:p>
      <w:pPr>
        <w:pStyle w:val="DefinitionTerm"/>
      </w:pPr>
      <w:r>
        <w:t xml:space="preserve">WGS84</w:t>
      </w:r>
    </w:p>
    <w:p>
      <w:pPr>
        <w:pStyle w:val="Definition"/>
      </w:pPr>
      <w:r>
        <w:t xml:space="preserve">World Geodetic System 1984</w:t>
      </w:r>
    </w:p>
    <w:p>
      <w:r>
        <w:br w:type="page"/>
      </w:r>
    </w:p>
    <w:bookmarkEnd w:id="37"/>
    <w:bookmarkStart w:id="171"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15"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ardver"/>
    <w:p>
      <w:pPr>
        <w:pStyle w:val="berschrift4"/>
      </w:pPr>
      <w:r>
        <w:rPr>
          <w:rStyle w:val="VerbatimChar"/>
        </w:rPr>
        <w:t xml:space="preserve">1.1.</w:t>
      </w:r>
      <w:r>
        <w:t xml:space="preserve"> </w:t>
      </w:r>
      <w:r>
        <w:t xml:space="preserve">CEOS-ARD PFS Compliance Version</w:t>
      </w:r>
    </w:p>
    <w:p>
      <w:pPr>
        <w:pStyle w:val="FirstParagraph"/>
      </w:pPr>
      <w:r>
        <w:t xml:space="preserve">Identifier:</w:t>
      </w:r>
      <w:r>
        <w:t xml:space="preserve"> </w:t>
      </w:r>
      <w:r>
        <w:rPr>
          <w:rStyle w:val="VerbatimChar"/>
        </w:rPr>
        <w:t xml:space="preserve">meta-ardver</w:t>
      </w:r>
    </w:p>
    <w:bookmarkStart w:id="38" w:name="threshold-requirements"/>
    <w:p>
      <w:pPr>
        <w:pStyle w:val="berschrift5"/>
      </w:pPr>
      <w:r>
        <w:t xml:space="preserve">Threshold requirements:</w:t>
      </w:r>
    </w:p>
    <w:p>
      <w:pPr>
        <w:pStyle w:val="FirstParagraph"/>
      </w:pPr>
      <w:r>
        <w:t xml:space="preserve">Version of the CEOS-ARD PFS with which the product is complying is identified.</w:t>
      </w:r>
    </w:p>
    <w:bookmarkEnd w:id="38"/>
    <w:bookmarkStart w:id="39" w:name="goal-requirements"/>
    <w:p>
      <w:pPr>
        <w:pStyle w:val="berschrift5"/>
      </w:pPr>
      <w:r>
        <w:t xml:space="preserve">Goal requirements:</w:t>
      </w:r>
    </w:p>
    <w:p>
      <w:pPr>
        <w:pStyle w:val="FirstParagraph"/>
      </w:pPr>
      <w:r>
        <w:t xml:space="preserve">As threshold.</w:t>
      </w:r>
      <w:r>
        <w:t xml:space="preserve"> </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trace-st"/>
    <w:p>
      <w:pPr>
        <w:pStyle w:val="berschrift4"/>
      </w:pPr>
      <w:r>
        <w:rPr>
          <w:rStyle w:val="VerbatimChar"/>
        </w:rPr>
        <w:t xml:space="preserve">1.2.</w:t>
      </w:r>
      <w:r>
        <w:t xml:space="preserve"> </w:t>
      </w:r>
      <w:r>
        <w:t xml:space="preserve">Metrological Traceability of the Measurand to SI</w:t>
      </w:r>
    </w:p>
    <w:p>
      <w:pPr>
        <w:pStyle w:val="FirstParagraph"/>
      </w:pPr>
      <w:r>
        <w:t xml:space="preserve">Identifier:</w:t>
      </w:r>
      <w:r>
        <w:t xml:space="preserve"> </w:t>
      </w:r>
      <w:r>
        <w:rPr>
          <w:rStyle w:val="VerbatimChar"/>
        </w:rPr>
        <w:t xml:space="preserve">meta-trace-st</w:t>
      </w:r>
    </w:p>
    <w:bookmarkStart w:id="42" w:name="threshold-requirements-1"/>
    <w:p>
      <w:pPr>
        <w:pStyle w:val="berschrift5"/>
      </w:pPr>
      <w:r>
        <w:t xml:space="preserve">Threshold requirements:</w:t>
      </w:r>
    </w:p>
    <w:p>
      <w:pPr>
        <w:pStyle w:val="FirstParagraph"/>
      </w:pPr>
      <w:r>
        <w:t xml:space="preserve">Not required.</w:t>
      </w:r>
      <w:r>
        <w:t xml:space="preserve"> </w:t>
      </w:r>
    </w:p>
    <w:bookmarkEnd w:id="42"/>
    <w:bookmarkStart w:id="43" w:name="goal-requirements-1"/>
    <w:p>
      <w:pPr>
        <w:pStyle w:val="berschrift5"/>
      </w:pPr>
      <w:r>
        <w:t xml:space="preserve">Goal requirements:</w:t>
      </w:r>
    </w:p>
    <w:p>
      <w:pPr>
        <w:pStyle w:val="FirstParagraph"/>
      </w:pPr>
      <w:r>
        <w:t xml:space="preserve">Data must be traceable to SI reference standard, documented by URL or DOI.</w:t>
      </w:r>
    </w:p>
    <w:p>
      <w:pPr>
        <w:pStyle w:val="Textkrper"/>
      </w:pPr>
      <w:r>
        <w:t xml:space="preserve">Note:</w:t>
      </w:r>
    </w:p>
    <w:p>
      <w:pPr>
        <w:pStyle w:val="Compact"/>
        <w:numPr>
          <w:ilvl w:val="0"/>
          <w:numId w:val="1005"/>
        </w:numPr>
      </w:pPr>
      <w:r>
        <w:t xml:space="preserve">SI Traceability requires an estimate of measurement uncertainty (see</w:t>
      </w:r>
      <w:r>
        <w:t xml:space="preserve"> </w:t>
      </w:r>
      <w:hyperlink w:anchor="sec:rac-muncer-st">
        <w:r>
          <w:rPr>
            <w:rStyle w:val="Hyperlink"/>
          </w:rPr>
          <w:t xml:space="preserve">Radiometric and Atmospheric Corrections: Measurand Uncertainty</w:t>
        </w:r>
      </w:hyperlink>
      <w:r>
        <w:t xml:space="preserve">).</w:t>
      </w:r>
    </w:p>
    <w:bookmarkEnd w:id="43"/>
    <w:bookmarkStart w:id="44" w:name="assessment-1"/>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4"/>
    <w:bookmarkEnd w:id="45"/>
    <w:bookmarkStart w:id="49" w:name="sec:meta-memare-st"/>
    <w:p>
      <w:pPr>
        <w:pStyle w:val="berschrift4"/>
      </w:pPr>
      <w:r>
        <w:rPr>
          <w:rStyle w:val="VerbatimChar"/>
        </w:rPr>
        <w:t xml:space="preserve">1.3.</w:t>
      </w:r>
      <w:r>
        <w:t xml:space="preserve"> </w:t>
      </w:r>
      <w:r>
        <w:t xml:space="preserve">Metadata Machine Readability</w:t>
      </w:r>
    </w:p>
    <w:p>
      <w:pPr>
        <w:pStyle w:val="FirstParagraph"/>
      </w:pPr>
      <w:r>
        <w:t xml:space="preserve">Identifier:</w:t>
      </w:r>
      <w:r>
        <w:t xml:space="preserve"> </w:t>
      </w:r>
      <w:r>
        <w:rPr>
          <w:rStyle w:val="VerbatimChar"/>
        </w:rPr>
        <w:t xml:space="preserve">meta-memare-st</w:t>
      </w:r>
    </w:p>
    <w:bookmarkStart w:id="46" w:name="threshold-requirements-2"/>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6"/>
    <w:bookmarkStart w:id="47" w:name="goal-requirements-2"/>
    <w:p>
      <w:pPr>
        <w:pStyle w:val="berschrift5"/>
      </w:pPr>
      <w:r>
        <w:t xml:space="preserve">Goal requirements:</w:t>
      </w:r>
    </w:p>
    <w:p>
      <w:pPr>
        <w:pStyle w:val="FirstParagraph"/>
      </w:pPr>
      <w:r>
        <w:t xml:space="preserve">As threshold, but metadata is provided in a community endorsed standard that facilitates machine-readability, such as CEOS-ARD Metadata Specifications, ISO 19115-2, STAC, the Climate and Forecast (CF) convention, or the Attribute Convention for Data Discovery (ACDD).</w:t>
      </w:r>
    </w:p>
    <w:bookmarkEnd w:id="47"/>
    <w:bookmarkStart w:id="48" w:name="assessment-2"/>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48"/>
    <w:bookmarkEnd w:id="49"/>
    <w:bookmarkStart w:id="53" w:name="sec:meta-time-st"/>
    <w:p>
      <w:pPr>
        <w:pStyle w:val="berschrift4"/>
      </w:pPr>
      <w:r>
        <w:rPr>
          <w:rStyle w:val="VerbatimChar"/>
        </w:rPr>
        <w:t xml:space="preserve">1.4.</w:t>
      </w:r>
      <w:r>
        <w:t xml:space="preserve"> </w:t>
      </w:r>
      <w:r>
        <w:t xml:space="preserve">Data Collection Time</w:t>
      </w:r>
    </w:p>
    <w:p>
      <w:pPr>
        <w:pStyle w:val="FirstParagraph"/>
      </w:pPr>
      <w:r>
        <w:t xml:space="preserve">Identifier:</w:t>
      </w:r>
      <w:r>
        <w:t xml:space="preserve"> </w:t>
      </w:r>
      <w:r>
        <w:rPr>
          <w:rStyle w:val="VerbatimChar"/>
        </w:rPr>
        <w:t xml:space="preserve">meta-time-st</w:t>
      </w:r>
    </w:p>
    <w:bookmarkStart w:id="50" w:name="threshold-requirements-3"/>
    <w:p>
      <w:pPr>
        <w:pStyle w:val="berschrift5"/>
      </w:pPr>
      <w:r>
        <w:t xml:space="preserve">Threshold requirements:</w:t>
      </w:r>
    </w:p>
    <w:p>
      <w:pPr>
        <w:pStyle w:val="FirstParagraph"/>
      </w:pPr>
      <w:r>
        <w:t xml:space="preserve">The beginning and end of the data collection time is expressed in date/time and identified in the metadata consistent with ISO 8601. The time is expressed with the time offset from UTC unambiguously identified.</w:t>
      </w:r>
    </w:p>
    <w:p>
      <w:pPr>
        <w:pStyle w:val="Textkrper"/>
      </w:pPr>
      <w:r>
        <w:t xml:space="preserve">In the case of composite or mosaic products, the dates/times of the first and last data takes are provided with the product.</w:t>
      </w:r>
    </w:p>
    <w:bookmarkEnd w:id="50"/>
    <w:bookmarkStart w:id="51" w:name="goal-requirements-3"/>
    <w:p>
      <w:pPr>
        <w:pStyle w:val="berschrift5"/>
      </w:pPr>
      <w:r>
        <w:t xml:space="preserve">Goal requirements:</w:t>
      </w:r>
    </w:p>
    <w:p>
      <w:pPr>
        <w:pStyle w:val="FirstParagraph"/>
      </w:pPr>
      <w:r>
        <w:t xml:space="preserve">As threshold, but information required to determine, within a stated uncertainty, when the individual observations were taken is available.</w:t>
      </w:r>
    </w:p>
    <w:bookmarkEnd w:id="51"/>
    <w:bookmarkStart w:id="52" w:name="assessment-3"/>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2"/>
    <w:bookmarkEnd w:id="53"/>
    <w:bookmarkStart w:id="57" w:name="sec:meta-geoarea-optical"/>
    <w:p>
      <w:pPr>
        <w:pStyle w:val="berschrift4"/>
      </w:pPr>
      <w:r>
        <w:rPr>
          <w:rStyle w:val="VerbatimChar"/>
        </w:rPr>
        <w:t xml:space="preserve">1.5.</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54" w:name="threshold-requirements-4"/>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54"/>
    <w:bookmarkStart w:id="55" w:name="goal-requirements-4"/>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55"/>
    <w:bookmarkStart w:id="56" w:name="assessment-4"/>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6"/>
    <w:bookmarkEnd w:id="57"/>
    <w:bookmarkStart w:id="61" w:name="sec:meta-crs-ar"/>
    <w:p>
      <w:pPr>
        <w:pStyle w:val="berschrift4"/>
      </w:pPr>
      <w:r>
        <w:rPr>
          <w:rStyle w:val="VerbatimChar"/>
        </w:rPr>
        <w:t xml:space="preserve">1.6.</w:t>
      </w:r>
      <w:r>
        <w:t xml:space="preserve"> </w:t>
      </w:r>
      <w:r>
        <w:t xml:space="preserve">Coordinate Reference System</w:t>
      </w:r>
    </w:p>
    <w:p>
      <w:pPr>
        <w:pStyle w:val="FirstParagraph"/>
      </w:pPr>
      <w:r>
        <w:t xml:space="preserve">Identifier:</w:t>
      </w:r>
      <w:r>
        <w:t xml:space="preserve"> </w:t>
      </w:r>
      <w:r>
        <w:rPr>
          <w:rStyle w:val="VerbatimChar"/>
        </w:rPr>
        <w:t xml:space="preserve">meta-crs-ar</w:t>
      </w:r>
    </w:p>
    <w:bookmarkStart w:id="58" w:name="threshold-requirements-5"/>
    <w:p>
      <w:pPr>
        <w:pStyle w:val="berschrift5"/>
      </w:pPr>
      <w:r>
        <w:t xml:space="preserve">Threshold requirements:</w:t>
      </w:r>
    </w:p>
    <w:p>
      <w:pPr>
        <w:pStyle w:val="FirstParagraph"/>
      </w:pPr>
      <w:r>
        <w:t xml:space="preserve">The coordinate reference system that has been used is detailed.</w:t>
      </w:r>
    </w:p>
    <w:bookmarkEnd w:id="58"/>
    <w:bookmarkStart w:id="59" w:name="goal-requirements-5"/>
    <w:p>
      <w:pPr>
        <w:pStyle w:val="berschrift5"/>
      </w:pPr>
      <w:r>
        <w:t xml:space="preserve">Goal requirements:</w:t>
      </w:r>
    </w:p>
    <w:p>
      <w:pPr>
        <w:pStyle w:val="FirstParagraph"/>
      </w:pPr>
      <w:r>
        <w:t xml:space="preserve">As threshold.</w:t>
      </w:r>
      <w:r>
        <w:t xml:space="preserve"> </w:t>
      </w:r>
    </w:p>
    <w:bookmarkEnd w:id="59"/>
    <w:bookmarkStart w:id="60" w:name="assessment-5"/>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0"/>
    <w:bookmarkEnd w:id="61"/>
    <w:bookmarkStart w:id="65" w:name="sec:meta-mapproj-ar"/>
    <w:p>
      <w:pPr>
        <w:pStyle w:val="berschrift4"/>
      </w:pPr>
      <w:r>
        <w:rPr>
          <w:rStyle w:val="VerbatimChar"/>
        </w:rPr>
        <w:t xml:space="preserve">1.7.</w:t>
      </w:r>
      <w:r>
        <w:t xml:space="preserve"> </w:t>
      </w:r>
      <w:r>
        <w:t xml:space="preserve">Map Projection</w:t>
      </w:r>
    </w:p>
    <w:p>
      <w:pPr>
        <w:pStyle w:val="FirstParagraph"/>
      </w:pPr>
      <w:r>
        <w:t xml:space="preserve">Identifier:</w:t>
      </w:r>
      <w:r>
        <w:t xml:space="preserve"> </w:t>
      </w:r>
      <w:r>
        <w:rPr>
          <w:rStyle w:val="VerbatimChar"/>
        </w:rPr>
        <w:t xml:space="preserve">meta-mapproj-ar</w:t>
      </w:r>
    </w:p>
    <w:bookmarkStart w:id="62" w:name="threshold-requirements-6"/>
    <w:p>
      <w:pPr>
        <w:pStyle w:val="berschrift5"/>
      </w:pPr>
      <w:r>
        <w:t xml:space="preserve">Threshold requirements:</w:t>
      </w:r>
    </w:p>
    <w:p>
      <w:pPr>
        <w:pStyle w:val="FirstParagraph"/>
      </w:pPr>
      <w:r>
        <w:t xml:space="preserve">The map projection that has been used and any relevant parameters required in relation to use of data in that map projection is detailed.</w:t>
      </w:r>
    </w:p>
    <w:bookmarkEnd w:id="62"/>
    <w:bookmarkStart w:id="63" w:name="goal-requirements-6"/>
    <w:p>
      <w:pPr>
        <w:pStyle w:val="berschrift5"/>
      </w:pPr>
      <w:r>
        <w:t xml:space="preserve">Goal requirements:</w:t>
      </w:r>
    </w:p>
    <w:p>
      <w:pPr>
        <w:pStyle w:val="FirstParagraph"/>
      </w:pPr>
      <w:r>
        <w:t xml:space="preserve">As threshold.</w:t>
      </w:r>
      <w:r>
        <w:t xml:space="preserve"> </w:t>
      </w:r>
    </w:p>
    <w:bookmarkEnd w:id="63"/>
    <w:bookmarkStart w:id="64" w:name="assessment-6"/>
    <w:p>
      <w:pPr>
        <w:pStyle w:val="berschrift5"/>
      </w:pPr>
      <w:r>
        <w:t xml:space="preserve">Assessment:</w:t>
      </w:r>
    </w:p>
    <w:p>
      <w:pPr>
        <w:pStyle w:val="Compact"/>
        <w:numPr>
          <w:ilvl w:val="0"/>
          <w:numId w:val="1011"/>
        </w:numPr>
      </w:pPr>
      <w:r>
        <w:t xml:space="preserve">Threshold Self-Assessment:</w:t>
      </w:r>
    </w:p>
    <w:p>
      <w:pPr>
        <w:pStyle w:val="Compact"/>
        <w:numPr>
          <w:ilvl w:val="0"/>
          <w:numId w:val="1011"/>
        </w:numPr>
      </w:pPr>
      <w:r>
        <w:t xml:space="preserve">Goal Self-Assessment:</w:t>
      </w:r>
    </w:p>
    <w:p>
      <w:pPr>
        <w:pStyle w:val="Compact"/>
        <w:numPr>
          <w:ilvl w:val="0"/>
          <w:numId w:val="1011"/>
        </w:numPr>
      </w:pPr>
      <w:r>
        <w:t xml:space="preserve">Self-Assessment Explanation/ Justification:</w:t>
      </w:r>
    </w:p>
    <w:p>
      <w:pPr>
        <w:pStyle w:val="Compact"/>
        <w:numPr>
          <w:ilvl w:val="0"/>
          <w:numId w:val="1011"/>
        </w:numPr>
      </w:pPr>
      <w:r>
        <w:t xml:space="preserve">Recommended Requirement Modification:</w:t>
      </w:r>
    </w:p>
    <w:p>
      <w:r>
        <w:pict>
          <v:rect style="width:0;height:1.5pt" o:hralign="center" o:hrstd="t" o:hr="t"/>
        </w:pict>
      </w:r>
    </w:p>
    <w:bookmarkEnd w:id="64"/>
    <w:bookmarkEnd w:id="65"/>
    <w:bookmarkStart w:id="69" w:name="sec:meta-geocorm-st"/>
    <w:p>
      <w:pPr>
        <w:pStyle w:val="berschrift4"/>
      </w:pPr>
      <w:r>
        <w:rPr>
          <w:rStyle w:val="VerbatimChar"/>
        </w:rPr>
        <w:t xml:space="preserve">1.8.</w:t>
      </w:r>
      <w:r>
        <w:t xml:space="preserve"> </w:t>
      </w:r>
      <w:r>
        <w:t xml:space="preserve">Geometric Correction Methods</w:t>
      </w:r>
    </w:p>
    <w:p>
      <w:pPr>
        <w:pStyle w:val="FirstParagraph"/>
      </w:pPr>
      <w:r>
        <w:t xml:space="preserve">Identifier:</w:t>
      </w:r>
      <w:r>
        <w:t xml:space="preserve"> </w:t>
      </w:r>
      <w:r>
        <w:rPr>
          <w:rStyle w:val="VerbatimChar"/>
        </w:rPr>
        <w:t xml:space="preserve">meta-geocorm-st</w:t>
      </w:r>
    </w:p>
    <w:bookmarkStart w:id="66" w:name="threshold-requirements-7"/>
    <w:p>
      <w:pPr>
        <w:pStyle w:val="berschrift5"/>
      </w:pPr>
      <w:r>
        <w:t xml:space="preserve">Threshold requirements:</w:t>
      </w:r>
    </w:p>
    <w:p>
      <w:pPr>
        <w:pStyle w:val="FirstParagraph"/>
      </w:pPr>
      <w:r>
        <w:t xml:space="preserve">Not required.</w:t>
      </w:r>
      <w:r>
        <w:t xml:space="preserve"> </w:t>
      </w:r>
    </w:p>
    <w:bookmarkEnd w:id="66"/>
    <w:bookmarkStart w:id="67" w:name="goal-requirements-7"/>
    <w:p>
      <w:pPr>
        <w:pStyle w:val="berschrift5"/>
      </w:pPr>
      <w:r>
        <w:t xml:space="preserve">Goal requirements:</w:t>
      </w:r>
    </w:p>
    <w:p>
      <w:pPr>
        <w:pStyle w:val="FirstParagraph"/>
      </w:pPr>
      <w:r>
        <w:t xml:space="preserve">Information on geometric correction source and methods are provided, including reference database and auxiliary data such as elevation model(s) and reference chip-sets, documented by URL or DOI.</w:t>
      </w:r>
    </w:p>
    <w:bookmarkEnd w:id="67"/>
    <w:bookmarkStart w:id="68"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8"/>
    <w:bookmarkEnd w:id="69"/>
    <w:bookmarkStart w:id="73" w:name="sec:meta-geounc-st"/>
    <w:p>
      <w:pPr>
        <w:pStyle w:val="berschrift4"/>
      </w:pPr>
      <w:r>
        <w:rPr>
          <w:rStyle w:val="VerbatimChar"/>
        </w:rPr>
        <w:t xml:space="preserve">1.9.</w:t>
      </w:r>
      <w:r>
        <w:t xml:space="preserve"> </w:t>
      </w:r>
      <w:r>
        <w:t xml:space="preserve">Geometric Uncertainty of the Data</w:t>
      </w:r>
    </w:p>
    <w:p>
      <w:pPr>
        <w:pStyle w:val="FirstParagraph"/>
      </w:pPr>
      <w:r>
        <w:t xml:space="preserve">Identifier:</w:t>
      </w:r>
      <w:r>
        <w:t xml:space="preserve"> </w:t>
      </w:r>
      <w:r>
        <w:rPr>
          <w:rStyle w:val="VerbatimChar"/>
        </w:rPr>
        <w:t xml:space="preserve">meta-geounc-st</w:t>
      </w:r>
    </w:p>
    <w:bookmarkStart w:id="70" w:name="threshold-requirements-8"/>
    <w:p>
      <w:pPr>
        <w:pStyle w:val="berschrift5"/>
      </w:pPr>
      <w:r>
        <w:t xml:space="preserve">Threshold requirements:</w:t>
      </w:r>
    </w:p>
    <w:p>
      <w:pPr>
        <w:pStyle w:val="FirstParagraph"/>
      </w:pPr>
      <w:r>
        <w:t xml:space="preserve">Not required.</w:t>
      </w:r>
      <w:r>
        <w:t xml:space="preserve"> </w:t>
      </w:r>
    </w:p>
    <w:bookmarkEnd w:id="70"/>
    <w:bookmarkStart w:id="71" w:name="goal-requirements-8"/>
    <w:p>
      <w:pPr>
        <w:pStyle w:val="berschrift5"/>
      </w:pPr>
      <w:r>
        <w:t xml:space="preserve">Goal requirements:</w:t>
      </w:r>
    </w:p>
    <w:p>
      <w:pPr>
        <w:pStyle w:val="FirstParagraph"/>
      </w:pPr>
      <w:r>
        <w:t xml:space="preserve">Inclusion of metrics describing the assessed geodetic uncertainty of the data, expressed in units of the coordinate system of the data. Uncertainty is assessed by independent verification (as well as internal model-fit where applicable). Uncertainties are expressed quantitatively and documented by URL or DOI.</w:t>
      </w:r>
    </w:p>
    <w:bookmarkEnd w:id="71"/>
    <w:bookmarkStart w:id="72"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2"/>
    <w:bookmarkEnd w:id="73"/>
    <w:bookmarkStart w:id="78" w:name="sec:meta-instru-st"/>
    <w:p>
      <w:pPr>
        <w:pStyle w:val="berschrift4"/>
      </w:pPr>
      <w:r>
        <w:rPr>
          <w:rStyle w:val="VerbatimChar"/>
        </w:rPr>
        <w:t xml:space="preserve">1.10.</w:t>
      </w:r>
      <w:r>
        <w:t xml:space="preserve"> </w:t>
      </w:r>
      <w:r>
        <w:t xml:space="preserve">Instrument</w:t>
      </w:r>
    </w:p>
    <w:p>
      <w:pPr>
        <w:pStyle w:val="FirstParagraph"/>
      </w:pPr>
      <w:r>
        <w:t xml:space="preserve">Identifier:</w:t>
      </w:r>
      <w:r>
        <w:t xml:space="preserve"> </w:t>
      </w:r>
      <w:r>
        <w:rPr>
          <w:rStyle w:val="VerbatimChar"/>
        </w:rPr>
        <w:t xml:space="preserve">meta-instru-st</w:t>
      </w:r>
    </w:p>
    <w:bookmarkStart w:id="74" w:name="threshold-requirements-9"/>
    <w:p>
      <w:pPr>
        <w:pStyle w:val="berschrift5"/>
      </w:pPr>
      <w:r>
        <w:t xml:space="preserve">Threshold requirements:</w:t>
      </w:r>
    </w:p>
    <w:p>
      <w:pPr>
        <w:pStyle w:val="FirstParagraph"/>
      </w:pPr>
      <w:r>
        <w:t xml:space="preserve">The instrument used to collect the data is identified.</w:t>
      </w:r>
    </w:p>
    <w:p>
      <w:pPr>
        <w:pStyle w:val="Compact"/>
        <w:numPr>
          <w:ilvl w:val="0"/>
          <w:numId w:val="1014"/>
        </w:numPr>
      </w:pPr>
      <w:r>
        <w:t xml:space="preserve">Satellite name</w:t>
      </w:r>
    </w:p>
    <w:p>
      <w:pPr>
        <w:pStyle w:val="Compact"/>
        <w:numPr>
          <w:ilvl w:val="0"/>
          <w:numId w:val="1014"/>
        </w:numPr>
      </w:pPr>
      <w:r>
        <w:t xml:space="preserve">Instrument name</w:t>
      </w:r>
    </w:p>
    <w:bookmarkEnd w:id="74"/>
    <w:bookmarkStart w:id="76" w:name="goal-requirements-9"/>
    <w:p>
      <w:pPr>
        <w:pStyle w:val="berschrift5"/>
      </w:pPr>
      <w:r>
        <w:t xml:space="preserve">Goal requirements:</w:t>
      </w:r>
    </w:p>
    <w:p>
      <w:pPr>
        <w:pStyle w:val="FirstParagraph"/>
      </w:pPr>
      <w:r>
        <w:t xml:space="preserve">As threshold, with references to the relevant</w:t>
      </w:r>
      <w:r>
        <w:t xml:space="preserve"> </w:t>
      </w:r>
      <w:r>
        <w:t xml:space="preserve">“CEOS Missions, Instruments and Measurements”</w:t>
      </w:r>
      <w:r>
        <w:t xml:space="preserve"> </w:t>
      </w:r>
      <w:r>
        <w:t xml:space="preserve">(MIM) database record (</w:t>
      </w:r>
      <w:hyperlink r:id="rId75">
        <w:r>
          <w:rPr>
            <w:rStyle w:val="Hyperlink"/>
          </w:rPr>
          <w:t xml:space="preserve">database.eohandbook.com</w:t>
        </w:r>
      </w:hyperlink>
      <w:r>
        <w:t xml:space="preserve">).</w:t>
      </w:r>
    </w:p>
    <w:bookmarkEnd w:id="76"/>
    <w:bookmarkStart w:id="77"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7"/>
    <w:bookmarkEnd w:id="78"/>
    <w:bookmarkStart w:id="82" w:name="sec:meta-specband-st"/>
    <w:p>
      <w:pPr>
        <w:pStyle w:val="berschrift4"/>
      </w:pPr>
      <w:r>
        <w:rPr>
          <w:rStyle w:val="VerbatimChar"/>
        </w:rPr>
        <w:t xml:space="preserve">1.11.</w:t>
      </w:r>
      <w:r>
        <w:t xml:space="preserve"> </w:t>
      </w:r>
      <w:r>
        <w:t xml:space="preserve">Spectral Bands</w:t>
      </w:r>
    </w:p>
    <w:p>
      <w:pPr>
        <w:pStyle w:val="FirstParagraph"/>
      </w:pPr>
      <w:r>
        <w:t xml:space="preserve">Identifier:</w:t>
      </w:r>
      <w:r>
        <w:t xml:space="preserve"> </w:t>
      </w:r>
      <w:r>
        <w:rPr>
          <w:rStyle w:val="VerbatimChar"/>
        </w:rPr>
        <w:t xml:space="preserve">meta-specband-st</w:t>
      </w:r>
    </w:p>
    <w:bookmarkStart w:id="79" w:name="threshold-requirements-10"/>
    <w:p>
      <w:pPr>
        <w:pStyle w:val="berschrift5"/>
      </w:pPr>
      <w:r>
        <w:t xml:space="preserve">Threshold requirements:</w:t>
      </w:r>
    </w:p>
    <w:p>
      <w:pPr>
        <w:pStyle w:val="FirstParagraph"/>
      </w:pPr>
      <w:r>
        <w:t xml:space="preserve">Spectral response function and method of assessment is provided.</w:t>
      </w:r>
    </w:p>
    <w:bookmarkEnd w:id="79"/>
    <w:bookmarkStart w:id="80" w:name="goal-requirements-10"/>
    <w:p>
      <w:pPr>
        <w:pStyle w:val="berschrift5"/>
      </w:pPr>
      <w:r>
        <w:t xml:space="preserve">Goal requirements:</w:t>
      </w:r>
    </w:p>
    <w:p>
      <w:pPr>
        <w:pStyle w:val="FirstParagraph"/>
      </w:pPr>
      <w:r>
        <w:t xml:space="preserve">As threshold, but information on spectral bands is documented by URL or DOI.</w:t>
      </w:r>
    </w:p>
    <w:bookmarkEnd w:id="80"/>
    <w:bookmarkStart w:id="81" w:name="assessment-10"/>
    <w:p>
      <w:pPr>
        <w:pStyle w:val="berschrift5"/>
      </w:pPr>
      <w:r>
        <w:t xml:space="preserve">Assessment:</w:t>
      </w:r>
    </w:p>
    <w:p>
      <w:pPr>
        <w:pStyle w:val="Compact"/>
        <w:numPr>
          <w:ilvl w:val="0"/>
          <w:numId w:val="1016"/>
        </w:numPr>
      </w:pPr>
      <w:r>
        <w:t xml:space="preserve">Threshold Self-Assessment:</w:t>
      </w:r>
    </w:p>
    <w:p>
      <w:pPr>
        <w:pStyle w:val="Compact"/>
        <w:numPr>
          <w:ilvl w:val="0"/>
          <w:numId w:val="1016"/>
        </w:numPr>
      </w:pPr>
      <w:r>
        <w:t xml:space="preserve">Goal Self-Assessment:</w:t>
      </w:r>
    </w:p>
    <w:p>
      <w:pPr>
        <w:pStyle w:val="Compact"/>
        <w:numPr>
          <w:ilvl w:val="0"/>
          <w:numId w:val="1016"/>
        </w:numPr>
      </w:pPr>
      <w:r>
        <w:t xml:space="preserve">Self-Assessment Explanation/ Justification:</w:t>
      </w:r>
    </w:p>
    <w:p>
      <w:pPr>
        <w:pStyle w:val="Compact"/>
        <w:numPr>
          <w:ilvl w:val="0"/>
          <w:numId w:val="1016"/>
        </w:numPr>
      </w:pPr>
      <w:r>
        <w:t xml:space="preserve">Recommended Requirement Modification:</w:t>
      </w:r>
    </w:p>
    <w:p>
      <w:r>
        <w:pict>
          <v:rect style="width:0;height:1.5pt" o:hralign="center" o:hrstd="t" o:hr="t"/>
        </w:pict>
      </w:r>
    </w:p>
    <w:bookmarkEnd w:id="81"/>
    <w:bookmarkEnd w:id="82"/>
    <w:bookmarkStart w:id="86" w:name="sec:meta-sencal-st"/>
    <w:p>
      <w:pPr>
        <w:pStyle w:val="berschrift4"/>
      </w:pPr>
      <w:r>
        <w:rPr>
          <w:rStyle w:val="VerbatimChar"/>
        </w:rPr>
        <w:t xml:space="preserve">1.12.</w:t>
      </w:r>
      <w:r>
        <w:t xml:space="preserve"> </w:t>
      </w:r>
      <w:r>
        <w:t xml:space="preserve">Sensor Calibration</w:t>
      </w:r>
    </w:p>
    <w:p>
      <w:pPr>
        <w:pStyle w:val="FirstParagraph"/>
      </w:pPr>
      <w:r>
        <w:t xml:space="preserve">Identifier:</w:t>
      </w:r>
      <w:r>
        <w:t xml:space="preserve"> </w:t>
      </w:r>
      <w:r>
        <w:rPr>
          <w:rStyle w:val="VerbatimChar"/>
        </w:rPr>
        <w:t xml:space="preserve">meta-sencal-st</w:t>
      </w:r>
    </w:p>
    <w:bookmarkStart w:id="83" w:name="threshold-requirements-11"/>
    <w:p>
      <w:pPr>
        <w:pStyle w:val="berschrift5"/>
      </w:pPr>
      <w:r>
        <w:t xml:space="preserve">Threshold requirements:</w:t>
      </w:r>
    </w:p>
    <w:p>
      <w:pPr>
        <w:pStyle w:val="FirstParagraph"/>
      </w:pPr>
      <w:r>
        <w:t xml:space="preserve">Binary description of calibrated/not calibrated only.</w:t>
      </w:r>
    </w:p>
    <w:bookmarkEnd w:id="83"/>
    <w:bookmarkStart w:id="84" w:name="goal-requirements-11"/>
    <w:p>
      <w:pPr>
        <w:pStyle w:val="berschrift5"/>
      </w:pPr>
      <w:r>
        <w:t xml:space="preserve">Goal requirements:</w:t>
      </w:r>
    </w:p>
    <w:p>
      <w:pPr>
        <w:pStyle w:val="FirstParagraph"/>
      </w:pPr>
      <w:r>
        <w:t xml:space="preserve">Sensor calibration parameters are identified or can be accessed using details included in the metadata, documented by URL or DOI.</w:t>
      </w:r>
    </w:p>
    <w:p>
      <w:pPr>
        <w:pStyle w:val="Textkrper"/>
      </w:pPr>
      <w:r>
        <w:t xml:space="preserve">Ideally this would support machine-to-machine access.</w:t>
      </w:r>
    </w:p>
    <w:bookmarkEnd w:id="84"/>
    <w:bookmarkStart w:id="85" w:name="assessment-11"/>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85"/>
    <w:bookmarkEnd w:id="86"/>
    <w:bookmarkStart w:id="90" w:name="sec:meta-measurunc"/>
    <w:p>
      <w:pPr>
        <w:pStyle w:val="berschrift4"/>
      </w:pPr>
      <w:r>
        <w:rPr>
          <w:rStyle w:val="VerbatimChar"/>
        </w:rPr>
        <w:t xml:space="preserve">1.13.</w:t>
      </w:r>
      <w:r>
        <w:t xml:space="preserve"> </w:t>
      </w:r>
      <w:r>
        <w:t xml:space="preserve">Measurand Uncertainty</w:t>
      </w:r>
    </w:p>
    <w:p>
      <w:pPr>
        <w:pStyle w:val="FirstParagraph"/>
      </w:pPr>
      <w:r>
        <w:t xml:space="preserve">Identifier:</w:t>
      </w:r>
      <w:r>
        <w:t xml:space="preserve"> </w:t>
      </w:r>
      <w:r>
        <w:rPr>
          <w:rStyle w:val="VerbatimChar"/>
        </w:rPr>
        <w:t xml:space="preserve">meta-measurunc</w:t>
      </w:r>
    </w:p>
    <w:bookmarkStart w:id="87" w:name="threshold-requirements-12"/>
    <w:p>
      <w:pPr>
        <w:pStyle w:val="berschrift5"/>
      </w:pPr>
      <w:r>
        <w:t xml:space="preserve">Threshold requirements:</w:t>
      </w:r>
    </w:p>
    <w:p>
      <w:pPr>
        <w:pStyle w:val="FirstParagraph"/>
      </w:pPr>
      <w:r>
        <w:t xml:space="preserve">Methods of determining the assessed measurand uncertainty of the version of the data are specified, documented by URL or DOI.</w:t>
      </w:r>
    </w:p>
    <w:bookmarkEnd w:id="87"/>
    <w:bookmarkStart w:id="88" w:name="goal-requirements-12"/>
    <w:p>
      <w:pPr>
        <w:pStyle w:val="berschrift5"/>
      </w:pPr>
      <w:r>
        <w:t xml:space="preserve">Goal requirements:</w:t>
      </w:r>
    </w:p>
    <w:p>
      <w:pPr>
        <w:pStyle w:val="FirstParagraph"/>
      </w:pPr>
      <w:r>
        <w:t xml:space="preserve">As threshold, but the absolute measurand uncertainty of the data is provided.</w:t>
      </w:r>
    </w:p>
    <w:bookmarkEnd w:id="88"/>
    <w:bookmarkStart w:id="89" w:name="assessment-12"/>
    <w:p>
      <w:pPr>
        <w:pStyle w:val="berschrift5"/>
      </w:pPr>
      <w:r>
        <w:t xml:space="preserve">Assessment:</w:t>
      </w:r>
    </w:p>
    <w:p>
      <w:pPr>
        <w:pStyle w:val="Compact"/>
        <w:numPr>
          <w:ilvl w:val="0"/>
          <w:numId w:val="1018"/>
        </w:numPr>
      </w:pPr>
      <w:r>
        <w:t xml:space="preserve">Threshold Self-Assessment:</w:t>
      </w:r>
    </w:p>
    <w:p>
      <w:pPr>
        <w:pStyle w:val="Compact"/>
        <w:numPr>
          <w:ilvl w:val="0"/>
          <w:numId w:val="1018"/>
        </w:numPr>
      </w:pPr>
      <w:r>
        <w:t xml:space="preserve">Goal Self-Assessment:</w:t>
      </w:r>
    </w:p>
    <w:p>
      <w:pPr>
        <w:pStyle w:val="Compact"/>
        <w:numPr>
          <w:ilvl w:val="0"/>
          <w:numId w:val="1018"/>
        </w:numPr>
      </w:pPr>
      <w:r>
        <w:t xml:space="preserve">Self-Assessment Explanation/ Justification:</w:t>
      </w:r>
    </w:p>
    <w:p>
      <w:pPr>
        <w:pStyle w:val="Compact"/>
        <w:numPr>
          <w:ilvl w:val="0"/>
          <w:numId w:val="1018"/>
        </w:numPr>
      </w:pPr>
      <w:r>
        <w:t xml:space="preserve">Recommended Requirement Modification:</w:t>
      </w:r>
    </w:p>
    <w:p>
      <w:r>
        <w:pict>
          <v:rect style="width:0;height:1.5pt" o:hralign="center" o:hrstd="t" o:hr="t"/>
        </w:pict>
      </w:r>
    </w:p>
    <w:bookmarkEnd w:id="89"/>
    <w:bookmarkEnd w:id="90"/>
    <w:bookmarkStart w:id="94" w:name="sec:meta-measurenc"/>
    <w:p>
      <w:pPr>
        <w:pStyle w:val="berschrift4"/>
      </w:pPr>
      <w:r>
        <w:rPr>
          <w:rStyle w:val="VerbatimChar"/>
        </w:rPr>
        <w:t xml:space="preserve">1.14.</w:t>
      </w:r>
      <w:r>
        <w:t xml:space="preserve"> </w:t>
      </w:r>
      <w:r>
        <w:t xml:space="preserve">Measurand Encoding</w:t>
      </w:r>
    </w:p>
    <w:p>
      <w:pPr>
        <w:pStyle w:val="FirstParagraph"/>
      </w:pPr>
      <w:r>
        <w:t xml:space="preserve">Identifier:</w:t>
      </w:r>
      <w:r>
        <w:t xml:space="preserve"> </w:t>
      </w:r>
      <w:r>
        <w:rPr>
          <w:rStyle w:val="VerbatimChar"/>
        </w:rPr>
        <w:t xml:space="preserve">meta-measurenc</w:t>
      </w:r>
    </w:p>
    <w:bookmarkStart w:id="91" w:name="threshold-requirements-13"/>
    <w:p>
      <w:pPr>
        <w:pStyle w:val="berschrift5"/>
      </w:pPr>
      <w:r>
        <w:t xml:space="preserve">Threshold requirements:</w:t>
      </w:r>
    </w:p>
    <w:p>
      <w:pPr>
        <w:pStyle w:val="FirstParagraph"/>
      </w:pPr>
      <w:r>
        <w:t xml:space="preserve">Range and bit depth are provided.</w:t>
      </w:r>
    </w:p>
    <w:bookmarkEnd w:id="91"/>
    <w:bookmarkStart w:id="92" w:name="goal-requirements-13"/>
    <w:p>
      <w:pPr>
        <w:pStyle w:val="berschrift5"/>
      </w:pPr>
      <w:r>
        <w:t xml:space="preserve">Goal requirements:</w:t>
      </w:r>
    </w:p>
    <w:p>
      <w:pPr>
        <w:pStyle w:val="FirstParagraph"/>
      </w:pPr>
      <w:r>
        <w:t xml:space="preserve">As threshold.</w:t>
      </w:r>
      <w:r>
        <w:t xml:space="preserve"> </w:t>
      </w:r>
    </w:p>
    <w:bookmarkEnd w:id="92"/>
    <w:bookmarkStart w:id="93" w:name="assessment-13"/>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93"/>
    <w:bookmarkEnd w:id="94"/>
    <w:bookmarkStart w:id="98" w:name="sec:meta-malgos-st"/>
    <w:p>
      <w:pPr>
        <w:pStyle w:val="berschrift4"/>
      </w:pPr>
      <w:r>
        <w:rPr>
          <w:rStyle w:val="VerbatimChar"/>
        </w:rPr>
        <w:t xml:space="preserve">1.15.</w:t>
      </w:r>
      <w:r>
        <w:t xml:space="preserve"> </w:t>
      </w:r>
      <w:r>
        <w:t xml:space="preserve">Algorithms</w:t>
      </w:r>
    </w:p>
    <w:p>
      <w:pPr>
        <w:pStyle w:val="FirstParagraph"/>
      </w:pPr>
      <w:r>
        <w:t xml:space="preserve">Identifier:</w:t>
      </w:r>
      <w:r>
        <w:t xml:space="preserve"> </w:t>
      </w:r>
      <w:r>
        <w:rPr>
          <w:rStyle w:val="VerbatimChar"/>
        </w:rPr>
        <w:t xml:space="preserve">meta-malgos-st</w:t>
      </w:r>
    </w:p>
    <w:bookmarkStart w:id="95" w:name="threshold-requirements-14"/>
    <w:p>
      <w:pPr>
        <w:pStyle w:val="berschrift5"/>
      </w:pPr>
      <w:r>
        <w:t xml:space="preserve">Threshold requirements:</w:t>
      </w:r>
    </w:p>
    <w:p>
      <w:pPr>
        <w:pStyle w:val="FirstParagraph"/>
      </w:pPr>
      <w:r>
        <w:t xml:space="preserve">Not required.</w:t>
      </w:r>
      <w:r>
        <w:t xml:space="preserve"> </w:t>
      </w:r>
    </w:p>
    <w:bookmarkEnd w:id="95"/>
    <w:bookmarkStart w:id="96" w:name="goal-requirements-14"/>
    <w:p>
      <w:pPr>
        <w:pStyle w:val="berschrift5"/>
      </w:pPr>
      <w:r>
        <w:t xml:space="preserve">Goal requirements:</w:t>
      </w:r>
    </w:p>
    <w:p>
      <w:pPr>
        <w:pStyle w:val="FirstParagraph"/>
      </w:pPr>
      <w:r>
        <w:t xml:space="preserve">All algorithms and the sequence in which they were applied in the generation process are identified and documented by URL or DOI.</w:t>
      </w:r>
    </w:p>
    <w:p>
      <w:pPr>
        <w:pStyle w:val="Textkrper"/>
      </w:pPr>
      <w:r>
        <w:t xml:space="preserve">Algorithms must be published and validated, and a description of the validation process is included.</w:t>
      </w:r>
    </w:p>
    <w:bookmarkEnd w:id="96"/>
    <w:bookmarkStart w:id="97" w:name="assessment-14"/>
    <w:p>
      <w:pPr>
        <w:pStyle w:val="berschrift5"/>
      </w:pPr>
      <w:r>
        <w:t xml:space="preserve">Assessment:</w:t>
      </w:r>
    </w:p>
    <w:p>
      <w:pPr>
        <w:pStyle w:val="Compact"/>
        <w:numPr>
          <w:ilvl w:val="0"/>
          <w:numId w:val="1020"/>
        </w:numPr>
      </w:pPr>
      <w:r>
        <w:t xml:space="preserve">Threshold Self-Assessment:</w:t>
      </w:r>
    </w:p>
    <w:p>
      <w:pPr>
        <w:pStyle w:val="Compact"/>
        <w:numPr>
          <w:ilvl w:val="0"/>
          <w:numId w:val="1020"/>
        </w:numPr>
      </w:pPr>
      <w:r>
        <w:t xml:space="preserve">Goal Self-Assessment:</w:t>
      </w:r>
    </w:p>
    <w:p>
      <w:pPr>
        <w:pStyle w:val="Compact"/>
        <w:numPr>
          <w:ilvl w:val="0"/>
          <w:numId w:val="1020"/>
        </w:numPr>
      </w:pPr>
      <w:r>
        <w:t xml:space="preserve">Self-Assessment Explanation/ Justification:</w:t>
      </w:r>
    </w:p>
    <w:p>
      <w:pPr>
        <w:pStyle w:val="Compact"/>
        <w:numPr>
          <w:ilvl w:val="0"/>
          <w:numId w:val="1020"/>
        </w:numPr>
      </w:pPr>
      <w:r>
        <w:t xml:space="preserve">Recommended Requirement Modification:</w:t>
      </w:r>
    </w:p>
    <w:p>
      <w:r>
        <w:pict>
          <v:rect style="width:0;height:1.5pt" o:hralign="center" o:hrstd="t" o:hr="t"/>
        </w:pict>
      </w:r>
    </w:p>
    <w:bookmarkEnd w:id="97"/>
    <w:bookmarkEnd w:id="98"/>
    <w:bookmarkStart w:id="102" w:name="sec:meta-auxdat-st"/>
    <w:p>
      <w:pPr>
        <w:pStyle w:val="berschrift4"/>
      </w:pPr>
      <w:r>
        <w:rPr>
          <w:rStyle w:val="VerbatimChar"/>
        </w:rPr>
        <w:t xml:space="preserve">1.16.</w:t>
      </w:r>
      <w:r>
        <w:t xml:space="preserve"> </w:t>
      </w:r>
      <w:r>
        <w:t xml:space="preserve">Auxiliary Data</w:t>
      </w:r>
    </w:p>
    <w:p>
      <w:pPr>
        <w:pStyle w:val="FirstParagraph"/>
      </w:pPr>
      <w:r>
        <w:t xml:space="preserve">Identifier:</w:t>
      </w:r>
      <w:r>
        <w:t xml:space="preserve"> </w:t>
      </w:r>
      <w:r>
        <w:rPr>
          <w:rStyle w:val="VerbatimChar"/>
        </w:rPr>
        <w:t xml:space="preserve">meta-auxdat-st</w:t>
      </w:r>
    </w:p>
    <w:bookmarkStart w:id="99" w:name="threshold-requirements-15"/>
    <w:p>
      <w:pPr>
        <w:pStyle w:val="berschrift5"/>
      </w:pPr>
      <w:r>
        <w:t xml:space="preserve">Threshold requirements:</w:t>
      </w:r>
    </w:p>
    <w:p>
      <w:pPr>
        <w:pStyle w:val="FirstParagraph"/>
      </w:pPr>
      <w:r>
        <w:t xml:space="preserve">Lists the sources of auxiliary data used in the generation process, documented by URL or DOI.</w:t>
      </w:r>
    </w:p>
    <w:p>
      <w:pPr>
        <w:pStyle w:val="Textkrper"/>
      </w:pPr>
      <w:r>
        <w:t xml:space="preserve">Note:</w:t>
      </w:r>
    </w:p>
    <w:p>
      <w:pPr>
        <w:pStyle w:val="Compact"/>
        <w:numPr>
          <w:ilvl w:val="0"/>
          <w:numId w:val="1021"/>
        </w:numPr>
      </w:pPr>
      <w:r>
        <w:t xml:space="preserve">Auxiliary data includes DEMs, aerosols, water vapor, Climate Modeling Grids, and any other data sources used in product generation.</w:t>
      </w:r>
    </w:p>
    <w:bookmarkEnd w:id="99"/>
    <w:bookmarkStart w:id="100" w:name="goal-requirements-15"/>
    <w:p>
      <w:pPr>
        <w:pStyle w:val="berschrift5"/>
      </w:pPr>
      <w:r>
        <w:t xml:space="preserve">Goal requirements:</w:t>
      </w:r>
    </w:p>
    <w:p>
      <w:pPr>
        <w:pStyle w:val="FirstParagraph"/>
      </w:pPr>
      <w:r>
        <w:t xml:space="preserve">As threshold, but information on auxiliary data should be available for free online download, contemporaneously with the product or through a link to the source.</w:t>
      </w:r>
    </w:p>
    <w:bookmarkEnd w:id="100"/>
    <w:bookmarkStart w:id="101" w:name="assessment-15"/>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101"/>
    <w:bookmarkEnd w:id="102"/>
    <w:bookmarkStart w:id="106" w:name="sec:meta-proprov-st"/>
    <w:p>
      <w:pPr>
        <w:pStyle w:val="berschrift4"/>
      </w:pPr>
      <w:r>
        <w:rPr>
          <w:rStyle w:val="VerbatimChar"/>
        </w:rPr>
        <w:t xml:space="preserve">1.17.</w:t>
      </w:r>
      <w:r>
        <w:t xml:space="preserve"> </w:t>
      </w:r>
      <w:r>
        <w:t xml:space="preserve">Processing Chain Provenance</w:t>
      </w:r>
    </w:p>
    <w:p>
      <w:pPr>
        <w:pStyle w:val="FirstParagraph"/>
      </w:pPr>
      <w:r>
        <w:t xml:space="preserve">Identifier:</w:t>
      </w:r>
      <w:r>
        <w:t xml:space="preserve"> </w:t>
      </w:r>
      <w:r>
        <w:rPr>
          <w:rStyle w:val="VerbatimChar"/>
        </w:rPr>
        <w:t xml:space="preserve">meta-proprov-st</w:t>
      </w:r>
    </w:p>
    <w:bookmarkStart w:id="103" w:name="threshold-requirements-16"/>
    <w:p>
      <w:pPr>
        <w:pStyle w:val="berschrift5"/>
      </w:pPr>
      <w:r>
        <w:t xml:space="preserve">Threshold requirements:</w:t>
      </w:r>
    </w:p>
    <w:p>
      <w:pPr>
        <w:pStyle w:val="FirstParagraph"/>
      </w:pPr>
      <w:r>
        <w:t xml:space="preserve">The provider attaches to each delivered dataset (delivery unit) information which allows the provider to reconstruct the exact processing environment (software versions, calibration files, parameter settings) in which this particular output was produced.</w:t>
      </w:r>
    </w:p>
    <w:bookmarkEnd w:id="103"/>
    <w:bookmarkStart w:id="104" w:name="goal-requirements-16"/>
    <w:p>
      <w:pPr>
        <w:pStyle w:val="berschrift5"/>
      </w:pPr>
      <w:r>
        <w:t xml:space="preserve">Goal requirements:</w:t>
      </w:r>
    </w:p>
    <w:p>
      <w:pPr>
        <w:pStyle w:val="FirstParagraph"/>
      </w:pPr>
      <w:r>
        <w:t xml:space="preserve">As threshold, but the provider is required to reproduce the exact same output.</w:t>
      </w:r>
    </w:p>
    <w:bookmarkEnd w:id="104"/>
    <w:bookmarkStart w:id="105" w:name="assessment-16"/>
    <w:p>
      <w:pPr>
        <w:pStyle w:val="berschrift5"/>
      </w:pPr>
      <w:r>
        <w:t xml:space="preserve">Assessment:</w:t>
      </w:r>
    </w:p>
    <w:p>
      <w:pPr>
        <w:pStyle w:val="Compact"/>
        <w:numPr>
          <w:ilvl w:val="0"/>
          <w:numId w:val="1023"/>
        </w:numPr>
      </w:pPr>
      <w:r>
        <w:t xml:space="preserve">Threshold Self-Assessment:</w:t>
      </w:r>
    </w:p>
    <w:p>
      <w:pPr>
        <w:pStyle w:val="Compact"/>
        <w:numPr>
          <w:ilvl w:val="0"/>
          <w:numId w:val="1023"/>
        </w:numPr>
      </w:pPr>
      <w:r>
        <w:t xml:space="preserve">Goal Self-Assessment:</w:t>
      </w:r>
    </w:p>
    <w:p>
      <w:pPr>
        <w:pStyle w:val="Compact"/>
        <w:numPr>
          <w:ilvl w:val="0"/>
          <w:numId w:val="1023"/>
        </w:numPr>
      </w:pPr>
      <w:r>
        <w:t xml:space="preserve">Self-Assessment Explanation/ Justification:</w:t>
      </w:r>
    </w:p>
    <w:p>
      <w:pPr>
        <w:pStyle w:val="Compact"/>
        <w:numPr>
          <w:ilvl w:val="0"/>
          <w:numId w:val="1023"/>
        </w:numPr>
      </w:pPr>
      <w:r>
        <w:t xml:space="preserve">Recommended Requirement Modification:</w:t>
      </w:r>
    </w:p>
    <w:p>
      <w:r>
        <w:pict>
          <v:rect style="width:0;height:1.5pt" o:hralign="center" o:hrstd="t" o:hr="t"/>
        </w:pict>
      </w:r>
    </w:p>
    <w:bookmarkEnd w:id="105"/>
    <w:bookmarkEnd w:id="106"/>
    <w:bookmarkStart w:id="110" w:name="sec:meta-daccess-st"/>
    <w:p>
      <w:pPr>
        <w:pStyle w:val="berschrift4"/>
      </w:pPr>
      <w:r>
        <w:rPr>
          <w:rStyle w:val="VerbatimChar"/>
        </w:rPr>
        <w:t xml:space="preserve">1.18.</w:t>
      </w:r>
      <w:r>
        <w:t xml:space="preserve"> </w:t>
      </w:r>
      <w:r>
        <w:t xml:space="preserve">Data Access</w:t>
      </w:r>
    </w:p>
    <w:p>
      <w:pPr>
        <w:pStyle w:val="FirstParagraph"/>
      </w:pPr>
      <w:r>
        <w:t xml:space="preserve">Identifier:</w:t>
      </w:r>
      <w:r>
        <w:t xml:space="preserve"> </w:t>
      </w:r>
      <w:r>
        <w:rPr>
          <w:rStyle w:val="VerbatimChar"/>
        </w:rPr>
        <w:t xml:space="preserve">meta-daccess-st</w:t>
      </w:r>
    </w:p>
    <w:bookmarkStart w:id="107" w:name="threshold-requirements-17"/>
    <w:p>
      <w:pPr>
        <w:pStyle w:val="berschrift5"/>
      </w:pPr>
      <w:r>
        <w:t xml:space="preserve">Threshold requirements:</w:t>
      </w:r>
    </w:p>
    <w:p>
      <w:pPr>
        <w:pStyle w:val="FirstParagraph"/>
      </w:pPr>
      <w:r>
        <w:t xml:space="preserve">The location from where the data can be retrieved is identified, expressed as a URL or DOI.</w:t>
      </w:r>
    </w:p>
    <w:p>
      <w:pPr>
        <w:pStyle w:val="Textkrper"/>
      </w:pPr>
      <w:r>
        <w:t xml:space="preserve">Note:</w:t>
      </w:r>
    </w:p>
    <w:p>
      <w:pPr>
        <w:pStyle w:val="Compact"/>
        <w:numPr>
          <w:ilvl w:val="0"/>
          <w:numId w:val="1024"/>
        </w:numPr>
      </w:pPr>
      <w:r>
        <w:t xml:space="preserve">Manual and offline interaction action (e.g., login) may be required.</w:t>
      </w:r>
    </w:p>
    <w:bookmarkEnd w:id="107"/>
    <w:bookmarkStart w:id="108" w:name="goal-requirements-17"/>
    <w:p>
      <w:pPr>
        <w:pStyle w:val="berschrift5"/>
      </w:pPr>
      <w:r>
        <w:t xml:space="preserve">Goal requirements:</w:t>
      </w:r>
    </w:p>
    <w:p>
      <w:pPr>
        <w:pStyle w:val="FirstParagraph"/>
      </w:pPr>
      <w:r>
        <w:t xml:space="preserve">An online location is identified from where the data can be consistently and reliably retrieved by a computer algorithm without any manual intervention being required.</w:t>
      </w:r>
    </w:p>
    <w:bookmarkEnd w:id="108"/>
    <w:bookmarkStart w:id="109" w:name="assessment-17"/>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109"/>
    <w:bookmarkEnd w:id="110"/>
    <w:bookmarkStart w:id="114" w:name="sec:meta-valpix"/>
    <w:p>
      <w:pPr>
        <w:pStyle w:val="berschrift4"/>
      </w:pPr>
      <w:r>
        <w:rPr>
          <w:rStyle w:val="VerbatimChar"/>
        </w:rPr>
        <w:t xml:space="preserve">1.19.</w:t>
      </w:r>
      <w:r>
        <w:t xml:space="preserve"> </w:t>
      </w:r>
      <w:r>
        <w:t xml:space="preserve">Valid Pixels</w:t>
      </w:r>
    </w:p>
    <w:p>
      <w:pPr>
        <w:pStyle w:val="FirstParagraph"/>
      </w:pPr>
      <w:r>
        <w:t xml:space="preserve">Identifier:</w:t>
      </w:r>
      <w:r>
        <w:t xml:space="preserve"> </w:t>
      </w:r>
      <w:r>
        <w:rPr>
          <w:rStyle w:val="VerbatimChar"/>
        </w:rPr>
        <w:t xml:space="preserve">meta-valpix</w:t>
      </w:r>
    </w:p>
    <w:bookmarkStart w:id="111" w:name="threshold-requirements-18"/>
    <w:p>
      <w:pPr>
        <w:pStyle w:val="berschrift5"/>
      </w:pPr>
      <w:r>
        <w:t xml:space="preserve">Threshold requirements:</w:t>
      </w:r>
    </w:p>
    <w:p>
      <w:pPr>
        <w:pStyle w:val="FirstParagraph"/>
      </w:pPr>
      <w:r>
        <w:t xml:space="preserve">Percentage of valid pixels in a specified area based on the applied flags from</w:t>
      </w:r>
      <w:r>
        <w:t xml:space="preserve"> </w:t>
      </w:r>
      <w:hyperlink w:anchor="sec:pxl">
        <w:r>
          <w:rPr>
            <w:rStyle w:val="Hyperlink"/>
          </w:rPr>
          <w:t xml:space="preserve">Per-Pixel Metadata</w:t>
        </w:r>
      </w:hyperlink>
      <w:r>
        <w:t xml:space="preserve">.</w:t>
      </w:r>
    </w:p>
    <w:bookmarkEnd w:id="111"/>
    <w:bookmarkStart w:id="112" w:name="goal-requirements-18"/>
    <w:p>
      <w:pPr>
        <w:pStyle w:val="berschrift5"/>
      </w:pPr>
      <w:r>
        <w:t xml:space="preserve">Goal requirements:</w:t>
      </w:r>
    </w:p>
    <w:p>
      <w:pPr>
        <w:pStyle w:val="FirstParagraph"/>
      </w:pPr>
      <w:r>
        <w:t xml:space="preserve">As threshold.</w:t>
      </w:r>
      <w:r>
        <w:t xml:space="preserve"> </w:t>
      </w:r>
    </w:p>
    <w:bookmarkEnd w:id="112"/>
    <w:bookmarkStart w:id="113" w:name="assessment-18"/>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bookmarkEnd w:id="113"/>
    <w:bookmarkEnd w:id="114"/>
    <w:bookmarkEnd w:id="115"/>
    <w:bookmarkStart w:id="148"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19" w:name="sec:pxl-pinodat-st"/>
    <w:p>
      <w:pPr>
        <w:pStyle w:val="berschrift4"/>
      </w:pPr>
      <w:r>
        <w:rPr>
          <w:rStyle w:val="VerbatimChar"/>
        </w:rPr>
        <w:t xml:space="preserve">2.1.</w:t>
      </w:r>
      <w:r>
        <w:t xml:space="preserve"> </w:t>
      </w:r>
      <w:r>
        <w:t xml:space="preserve">No Data</w:t>
      </w:r>
    </w:p>
    <w:p>
      <w:pPr>
        <w:pStyle w:val="FirstParagraph"/>
      </w:pPr>
      <w:r>
        <w:t xml:space="preserve">Identifier:</w:t>
      </w:r>
      <w:r>
        <w:t xml:space="preserve"> </w:t>
      </w:r>
      <w:r>
        <w:rPr>
          <w:rStyle w:val="VerbatimChar"/>
        </w:rPr>
        <w:t xml:space="preserve">pxl-pinodat-st</w:t>
      </w:r>
    </w:p>
    <w:bookmarkStart w:id="116" w:name="threshold-requirements-19"/>
    <w:p>
      <w:pPr>
        <w:pStyle w:val="berschrift5"/>
      </w:pPr>
      <w:r>
        <w:t xml:space="preserve">Threshold requirements:</w:t>
      </w:r>
    </w:p>
    <w:p>
      <w:pPr>
        <w:pStyle w:val="FirstParagraph"/>
      </w:pPr>
      <w:r>
        <w:t xml:space="preserve">Pixels that do not correspond to an observation (No Data / Invalid / Falsified / Valid / Modelled) are flagged.</w:t>
      </w:r>
    </w:p>
    <w:bookmarkEnd w:id="116"/>
    <w:bookmarkStart w:id="117" w:name="goal-requirements-19"/>
    <w:p>
      <w:pPr>
        <w:pStyle w:val="berschrift5"/>
      </w:pPr>
      <w:r>
        <w:t xml:space="preserve">Goal requirements:</w:t>
      </w:r>
    </w:p>
    <w:p>
      <w:pPr>
        <w:pStyle w:val="FirstParagraph"/>
      </w:pPr>
      <w:r>
        <w:t xml:space="preserve">As threshold.</w:t>
      </w:r>
      <w:r>
        <w:t xml:space="preserve"> </w:t>
      </w:r>
    </w:p>
    <w:bookmarkEnd w:id="117"/>
    <w:bookmarkStart w:id="118" w:name="assessment-19"/>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118"/>
    <w:bookmarkEnd w:id="119"/>
    <w:bookmarkStart w:id="123" w:name="sec:pxl-pincot-st"/>
    <w:p>
      <w:pPr>
        <w:pStyle w:val="berschrift4"/>
      </w:pPr>
      <w:r>
        <w:rPr>
          <w:rStyle w:val="VerbatimChar"/>
        </w:rPr>
        <w:t xml:space="preserve">2.2.</w:t>
      </w:r>
      <w:r>
        <w:t xml:space="preserve"> </w:t>
      </w:r>
      <w:r>
        <w:t xml:space="preserve">Incomplete Testing</w:t>
      </w:r>
    </w:p>
    <w:p>
      <w:pPr>
        <w:pStyle w:val="FirstParagraph"/>
      </w:pPr>
      <w:r>
        <w:t xml:space="preserve">Identifier:</w:t>
      </w:r>
      <w:r>
        <w:t xml:space="preserve"> </w:t>
      </w:r>
      <w:r>
        <w:rPr>
          <w:rStyle w:val="VerbatimChar"/>
        </w:rPr>
        <w:t xml:space="preserve">pxl-pincot-st</w:t>
      </w:r>
    </w:p>
    <w:bookmarkStart w:id="120" w:name="threshold-requirements-20"/>
    <w:p>
      <w:pPr>
        <w:pStyle w:val="berschrift5"/>
      </w:pPr>
      <w:r>
        <w:t xml:space="preserve">Threshold requirements:</w:t>
      </w:r>
    </w:p>
    <w:p>
      <w:pPr>
        <w:pStyle w:val="FirstParagraph"/>
      </w:pPr>
      <w:r>
        <w:t xml:space="preserve">Identifies pixels for which the per-pixel tests (</w:t>
      </w:r>
      <w:hyperlink w:anchor="sec:pxl-pisatur-ar">
        <w:r>
          <w:rPr>
            <w:rStyle w:val="Hyperlink"/>
          </w:rPr>
          <w:t xml:space="preserve">Per-Pixel Metadata: Saturation</w:t>
        </w:r>
      </w:hyperlink>
      <w:r>
        <w:t xml:space="preserve">,</w:t>
      </w:r>
      <w:r>
        <w:t xml:space="preserve"> </w:t>
      </w:r>
      <w:hyperlink w:anchor="sec:pxl-picloud-st">
        <w:r>
          <w:rPr>
            <w:rStyle w:val="Hyperlink"/>
          </w:rPr>
          <w:t xml:space="preserve">Per-Pixel Metadata: Cloud</w:t>
        </w:r>
      </w:hyperlink>
      <w:r>
        <w:t xml:space="preserve">,</w:t>
      </w:r>
      <w:r>
        <w:t xml:space="preserve"> </w:t>
      </w:r>
      <w:hyperlink w:anchor="sec:pxl-picloudsh-st">
        <w:r>
          <w:rPr>
            <w:rStyle w:val="Hyperlink"/>
          </w:rPr>
          <w:t xml:space="preserve">Per-Pixel Metadata: Cloud Shadow</w:t>
        </w:r>
      </w:hyperlink>
      <w:r>
        <w:t xml:space="preserve">,</w:t>
      </w:r>
      <w:r>
        <w:t xml:space="preserve"> </w:t>
      </w:r>
      <w:hyperlink w:anchor="sec:pxl-surf-st">
        <w:r>
          <w:rPr>
            <w:rStyle w:val="Hyperlink"/>
          </w:rPr>
          <w:t xml:space="preserve">Per-Pixel Metadata: Surface</w:t>
        </w:r>
      </w:hyperlink>
      <w:r>
        <w:t xml:space="preserve">,</w:t>
      </w:r>
      <w:r>
        <w:t xml:space="preserve"> </w:t>
      </w:r>
      <w:hyperlink w:anchor="sec:pxl-terrain-st">
        <w:r>
          <w:rPr>
            <w:rStyle w:val="Hyperlink"/>
          </w:rPr>
          <w:t xml:space="preserve">Per-Pixel Metadata: Terrain Occlusion</w:t>
        </w:r>
      </w:hyperlink>
      <w:r>
        <w:t xml:space="preserve">) have not all been successfully completed.</w:t>
      </w:r>
    </w:p>
    <w:p>
      <w:pPr>
        <w:pStyle w:val="Textkrper"/>
      </w:pPr>
      <w:r>
        <w:t xml:space="preserve">Note:</w:t>
      </w:r>
    </w:p>
    <w:p>
      <w:pPr>
        <w:pStyle w:val="Compact"/>
        <w:numPr>
          <w:ilvl w:val="0"/>
          <w:numId w:val="1028"/>
        </w:numPr>
      </w:pPr>
      <w:r>
        <w:t xml:space="preserve">This may be the result of missing ancillary data for a subset of the pixels.</w:t>
      </w:r>
    </w:p>
    <w:bookmarkEnd w:id="120"/>
    <w:bookmarkStart w:id="121" w:name="goal-requirements-20"/>
    <w:p>
      <w:pPr>
        <w:pStyle w:val="berschrift5"/>
      </w:pPr>
      <w:r>
        <w:t xml:space="preserve">Goal requirements:</w:t>
      </w:r>
    </w:p>
    <w:p>
      <w:pPr>
        <w:pStyle w:val="FirstParagraph"/>
      </w:pPr>
      <w:r>
        <w:t xml:space="preserve">Identifies which tests (</w:t>
      </w:r>
      <w:hyperlink w:anchor="sec:pxl-pisatur-ar">
        <w:r>
          <w:rPr>
            <w:rStyle w:val="Hyperlink"/>
          </w:rPr>
          <w:t xml:space="preserve">Per-Pixel Metadata: Saturation</w:t>
        </w:r>
      </w:hyperlink>
      <w:r>
        <w:t xml:space="preserve">,</w:t>
      </w:r>
      <w:r>
        <w:t xml:space="preserve"> </w:t>
      </w:r>
      <w:hyperlink w:anchor="sec:pxl-picloud-st">
        <w:r>
          <w:rPr>
            <w:rStyle w:val="Hyperlink"/>
          </w:rPr>
          <w:t xml:space="preserve">Per-Pixel Metadata: Cloud</w:t>
        </w:r>
      </w:hyperlink>
      <w:r>
        <w:t xml:space="preserve">,</w:t>
      </w:r>
      <w:r>
        <w:t xml:space="preserve"> </w:t>
      </w:r>
      <w:hyperlink w:anchor="sec:pxl-picloudsh-st">
        <w:r>
          <w:rPr>
            <w:rStyle w:val="Hyperlink"/>
          </w:rPr>
          <w:t xml:space="preserve">Per-Pixel Metadata: Cloud Shadow</w:t>
        </w:r>
      </w:hyperlink>
      <w:r>
        <w:t xml:space="preserve">,</w:t>
      </w:r>
      <w:r>
        <w:t xml:space="preserve"> </w:t>
      </w:r>
      <w:hyperlink w:anchor="sec:pxl-surf-st">
        <w:r>
          <w:rPr>
            <w:rStyle w:val="Hyperlink"/>
          </w:rPr>
          <w:t xml:space="preserve">Per-Pixel Metadata: Surface</w:t>
        </w:r>
      </w:hyperlink>
      <w:r>
        <w:t xml:space="preserve">,</w:t>
      </w:r>
      <w:r>
        <w:t xml:space="preserve"> </w:t>
      </w:r>
      <w:hyperlink w:anchor="sec:pxl-terrain-st">
        <w:r>
          <w:rPr>
            <w:rStyle w:val="Hyperlink"/>
          </w:rPr>
          <w:t xml:space="preserve">Per-Pixel Metadata: Terrain Occlusion</w:t>
        </w:r>
      </w:hyperlink>
      <w:r>
        <w:t xml:space="preserve">) have and have not been successfully completed for each pixel.</w:t>
      </w:r>
    </w:p>
    <w:bookmarkEnd w:id="121"/>
    <w:bookmarkStart w:id="122" w:name="assessment-20"/>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22"/>
    <w:bookmarkEnd w:id="123"/>
    <w:bookmarkStart w:id="127" w:name="sec:pxl-pisatur-ar"/>
    <w:p>
      <w:pPr>
        <w:pStyle w:val="berschrift4"/>
      </w:pPr>
      <w:r>
        <w:rPr>
          <w:rStyle w:val="VerbatimChar"/>
        </w:rPr>
        <w:t xml:space="preserve">2.3.</w:t>
      </w:r>
      <w:r>
        <w:t xml:space="preserve"> </w:t>
      </w:r>
      <w:r>
        <w:t xml:space="preserve">Saturation</w:t>
      </w:r>
    </w:p>
    <w:p>
      <w:pPr>
        <w:pStyle w:val="FirstParagraph"/>
      </w:pPr>
      <w:r>
        <w:t xml:space="preserve">Identifier:</w:t>
      </w:r>
      <w:r>
        <w:t xml:space="preserve"> </w:t>
      </w:r>
      <w:r>
        <w:rPr>
          <w:rStyle w:val="VerbatimChar"/>
        </w:rPr>
        <w:t xml:space="preserve">pxl-pisatur-ar</w:t>
      </w:r>
    </w:p>
    <w:bookmarkStart w:id="124" w:name="threshold-requirements-21"/>
    <w:p>
      <w:pPr>
        <w:pStyle w:val="berschrift5"/>
      </w:pPr>
      <w:r>
        <w:t xml:space="preserve">Threshold requirements:</w:t>
      </w:r>
    </w:p>
    <w:p>
      <w:pPr>
        <w:pStyle w:val="FirstParagraph"/>
      </w:pPr>
      <w:r>
        <w:t xml:space="preserve">Specification of whether there is pixel radiometric saturation at Level 1 in one or more spectral bands.</w:t>
      </w:r>
    </w:p>
    <w:bookmarkEnd w:id="124"/>
    <w:bookmarkStart w:id="125" w:name="goal-requirements-21"/>
    <w:p>
      <w:pPr>
        <w:pStyle w:val="berschrift5"/>
      </w:pPr>
      <w:r>
        <w:t xml:space="preserve">Goal requirements:</w:t>
      </w:r>
    </w:p>
    <w:p>
      <w:pPr>
        <w:pStyle w:val="FirstParagraph"/>
      </w:pPr>
      <w:r>
        <w:t xml:space="preserve">As threshold, with specification of which pixels are radiometrically saturated for each spectral band.</w:t>
      </w:r>
    </w:p>
    <w:bookmarkEnd w:id="125"/>
    <w:bookmarkStart w:id="126" w:name="assessment-21"/>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26"/>
    <w:bookmarkEnd w:id="127"/>
    <w:bookmarkStart w:id="131" w:name="sec:pxl-picloud-st"/>
    <w:p>
      <w:pPr>
        <w:pStyle w:val="berschrift4"/>
      </w:pPr>
      <w:r>
        <w:rPr>
          <w:rStyle w:val="VerbatimChar"/>
        </w:rPr>
        <w:t xml:space="preserve">2.4.</w:t>
      </w:r>
      <w:r>
        <w:t xml:space="preserve"> </w:t>
      </w:r>
      <w:r>
        <w:t xml:space="preserve">Cloud</w:t>
      </w:r>
    </w:p>
    <w:p>
      <w:pPr>
        <w:pStyle w:val="FirstParagraph"/>
      </w:pPr>
      <w:r>
        <w:t xml:space="preserve">Identifier:</w:t>
      </w:r>
      <w:r>
        <w:t xml:space="preserve"> </w:t>
      </w:r>
      <w:r>
        <w:rPr>
          <w:rStyle w:val="VerbatimChar"/>
        </w:rPr>
        <w:t xml:space="preserve">pxl-picloud-st</w:t>
      </w:r>
    </w:p>
    <w:bookmarkStart w:id="128" w:name="threshold-requirements-22"/>
    <w:p>
      <w:pPr>
        <w:pStyle w:val="berschrift5"/>
      </w:pPr>
      <w:r>
        <w:t xml:space="preserve">Threshold requirements:</w:t>
      </w:r>
    </w:p>
    <w:p>
      <w:pPr>
        <w:pStyle w:val="FirstParagraph"/>
      </w:pPr>
      <w:r>
        <w:t xml:space="preserve">Specification of whether a pixel is cloud-affected.</w:t>
      </w:r>
    </w:p>
    <w:bookmarkEnd w:id="128"/>
    <w:bookmarkStart w:id="129" w:name="goal-requirements-22"/>
    <w:p>
      <w:pPr>
        <w:pStyle w:val="berschrift5"/>
      </w:pPr>
      <w:r>
        <w:t xml:space="preserve">Goal requirements:</w:t>
      </w:r>
    </w:p>
    <w:p>
      <w:pPr>
        <w:pStyle w:val="FirstParagraph"/>
      </w:pPr>
      <w:r>
        <w:t xml:space="preserve">As threshold, but information on cloud type or confidence is included, documented by URL or DOI.</w:t>
      </w:r>
    </w:p>
    <w:bookmarkEnd w:id="129"/>
    <w:bookmarkStart w:id="130" w:name="assessment-22"/>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30"/>
    <w:bookmarkEnd w:id="131"/>
    <w:bookmarkStart w:id="135" w:name="sec:pxl-picloudsh-st"/>
    <w:p>
      <w:pPr>
        <w:pStyle w:val="berschrift4"/>
      </w:pPr>
      <w:r>
        <w:rPr>
          <w:rStyle w:val="VerbatimChar"/>
        </w:rPr>
        <w:t xml:space="preserve">2.5.</w:t>
      </w:r>
      <w:r>
        <w:t xml:space="preserve"> </w:t>
      </w:r>
      <w:r>
        <w:t xml:space="preserve">Cloud Shadow</w:t>
      </w:r>
    </w:p>
    <w:p>
      <w:pPr>
        <w:pStyle w:val="FirstParagraph"/>
      </w:pPr>
      <w:r>
        <w:t xml:space="preserve">Identifier:</w:t>
      </w:r>
      <w:r>
        <w:t xml:space="preserve"> </w:t>
      </w:r>
      <w:r>
        <w:rPr>
          <w:rStyle w:val="VerbatimChar"/>
        </w:rPr>
        <w:t xml:space="preserve">pxl-picloudsh-st</w:t>
      </w:r>
    </w:p>
    <w:bookmarkStart w:id="132" w:name="threshold-requirements-23"/>
    <w:p>
      <w:pPr>
        <w:pStyle w:val="berschrift5"/>
      </w:pPr>
      <w:r>
        <w:t xml:space="preserve">Threshold requirements:</w:t>
      </w:r>
    </w:p>
    <w:p>
      <w:pPr>
        <w:pStyle w:val="FirstParagraph"/>
      </w:pPr>
      <w:r>
        <w:t xml:space="preserve">Not required.</w:t>
      </w:r>
      <w:r>
        <w:t xml:space="preserve"> </w:t>
      </w:r>
    </w:p>
    <w:bookmarkEnd w:id="132"/>
    <w:bookmarkStart w:id="133" w:name="goal-requirements-23"/>
    <w:p>
      <w:pPr>
        <w:pStyle w:val="berschrift5"/>
      </w:pPr>
      <w:r>
        <w:t xml:space="preserve">Goal requirements:</w:t>
      </w:r>
    </w:p>
    <w:p>
      <w:pPr>
        <w:pStyle w:val="FirstParagraph"/>
      </w:pPr>
      <w:r>
        <w:t xml:space="preserve">Specification of whether a pixel is cloud shadow-affected. Information on cloud shadow detection is documented by URL or DOI.</w:t>
      </w:r>
    </w:p>
    <w:bookmarkEnd w:id="133"/>
    <w:bookmarkStart w:id="134" w:name="assessment-23"/>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34"/>
    <w:bookmarkEnd w:id="135"/>
    <w:bookmarkStart w:id="139" w:name="sec:pxl-surf-st"/>
    <w:p>
      <w:pPr>
        <w:pStyle w:val="berschrift4"/>
      </w:pPr>
      <w:r>
        <w:rPr>
          <w:rStyle w:val="VerbatimChar"/>
        </w:rPr>
        <w:t xml:space="preserve">2.6.</w:t>
      </w:r>
      <w:r>
        <w:t xml:space="preserve"> </w:t>
      </w:r>
      <w:r>
        <w:t xml:space="preserve">Surface</w:t>
      </w:r>
    </w:p>
    <w:p>
      <w:pPr>
        <w:pStyle w:val="FirstParagraph"/>
      </w:pPr>
      <w:r>
        <w:t xml:space="preserve">Identifier:</w:t>
      </w:r>
      <w:r>
        <w:t xml:space="preserve"> </w:t>
      </w:r>
      <w:r>
        <w:rPr>
          <w:rStyle w:val="VerbatimChar"/>
        </w:rPr>
        <w:t xml:space="preserve">pxl-surf-st</w:t>
      </w:r>
    </w:p>
    <w:bookmarkStart w:id="136" w:name="threshold-requirements-24"/>
    <w:p>
      <w:pPr>
        <w:pStyle w:val="berschrift5"/>
      </w:pPr>
      <w:r>
        <w:t xml:space="preserve">Threshold requirements:</w:t>
      </w:r>
    </w:p>
    <w:p>
      <w:pPr>
        <w:pStyle w:val="FirstParagraph"/>
      </w:pPr>
      <w:r>
        <w:t xml:space="preserve">Specification of whether a pixel is assessed as being land or water, including the information source and other relevant surface characteristic information.</w:t>
      </w:r>
    </w:p>
    <w:p>
      <w:pPr>
        <w:pStyle w:val="Textkrper"/>
      </w:pPr>
      <w:r>
        <w:t xml:space="preserve">Note:</w:t>
      </w:r>
    </w:p>
    <w:p>
      <w:pPr>
        <w:pStyle w:val="Compact"/>
        <w:numPr>
          <w:ilvl w:val="0"/>
          <w:numId w:val="1033"/>
        </w:numPr>
      </w:pPr>
      <w:r>
        <w:t xml:space="preserve">External data sources are listed in</w:t>
      </w:r>
      <w:r>
        <w:t xml:space="preserve"> </w:t>
      </w:r>
      <w:hyperlink w:anchor="sec:meta-auxdat-st">
        <w:r>
          <w:rPr>
            <w:rStyle w:val="Hyperlink"/>
          </w:rPr>
          <w:t xml:space="preserve">General Metadata: Auxiliary Data</w:t>
        </w:r>
      </w:hyperlink>
      <w:r>
        <w:t xml:space="preserve">.</w:t>
      </w:r>
    </w:p>
    <w:bookmarkEnd w:id="136"/>
    <w:bookmarkStart w:id="137" w:name="goal-requirements-24"/>
    <w:p>
      <w:pPr>
        <w:pStyle w:val="berschrift5"/>
      </w:pPr>
      <w:r>
        <w:t xml:space="preserve">Goal requirements:</w:t>
      </w:r>
    </w:p>
    <w:p>
      <w:pPr>
        <w:pStyle w:val="FirstParagraph"/>
      </w:pPr>
      <w:r>
        <w:t xml:space="preserve">As threshold, but pixels are identified as being snow or ice.</w:t>
      </w:r>
    </w:p>
    <w:bookmarkEnd w:id="137"/>
    <w:bookmarkStart w:id="138" w:name="assessment-24"/>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38"/>
    <w:bookmarkEnd w:id="139"/>
    <w:bookmarkStart w:id="143" w:name="sec:pxl-vigeso-ar"/>
    <w:p>
      <w:pPr>
        <w:pStyle w:val="berschrift4"/>
      </w:pPr>
      <w:r>
        <w:rPr>
          <w:rStyle w:val="VerbatimChar"/>
        </w:rPr>
        <w:t xml:space="preserve">2.7.</w:t>
      </w:r>
      <w:r>
        <w:t xml:space="preserve"> </w:t>
      </w:r>
      <w:r>
        <w:t xml:space="preserve">Solar and Viewing Geometry</w:t>
      </w:r>
    </w:p>
    <w:p>
      <w:pPr>
        <w:pStyle w:val="FirstParagraph"/>
      </w:pPr>
      <w:r>
        <w:t xml:space="preserve">Identifier:</w:t>
      </w:r>
      <w:r>
        <w:t xml:space="preserve"> </w:t>
      </w:r>
      <w:r>
        <w:rPr>
          <w:rStyle w:val="VerbatimChar"/>
        </w:rPr>
        <w:t xml:space="preserve">pxl-vigeso-ar</w:t>
      </w:r>
    </w:p>
    <w:bookmarkStart w:id="140" w:name="threshold-requirements-25"/>
    <w:p>
      <w:pPr>
        <w:pStyle w:val="berschrift5"/>
      </w:pPr>
      <w:r>
        <w:t xml:space="preserve">Threshold requirements:</w:t>
      </w:r>
    </w:p>
    <w:p>
      <w:pPr>
        <w:pStyle w:val="FirstParagraph"/>
      </w:pPr>
      <w:r>
        <w:t xml:space="preserve">Specification of the solar and sensor viewing azimuth and zenith angles.</w:t>
      </w:r>
    </w:p>
    <w:bookmarkEnd w:id="140"/>
    <w:bookmarkStart w:id="141" w:name="goal-requirements-25"/>
    <w:p>
      <w:pPr>
        <w:pStyle w:val="berschrift5"/>
      </w:pPr>
      <w:r>
        <w:t xml:space="preserve">Goal requirements:</w:t>
      </w:r>
    </w:p>
    <w:p>
      <w:pPr>
        <w:pStyle w:val="FirstParagraph"/>
      </w:pPr>
      <w:r>
        <w:t xml:space="preserve">As threshold.</w:t>
      </w:r>
      <w:r>
        <w:t xml:space="preserve"> </w:t>
      </w:r>
    </w:p>
    <w:bookmarkEnd w:id="141"/>
    <w:bookmarkStart w:id="142" w:name="assessment-25"/>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42"/>
    <w:bookmarkEnd w:id="143"/>
    <w:bookmarkStart w:id="147" w:name="sec:pxl-terrain-st"/>
    <w:p>
      <w:pPr>
        <w:pStyle w:val="berschrift4"/>
      </w:pPr>
      <w:r>
        <w:rPr>
          <w:rStyle w:val="VerbatimChar"/>
        </w:rPr>
        <w:t xml:space="preserve">2.8.</w:t>
      </w:r>
      <w:r>
        <w:t xml:space="preserve"> </w:t>
      </w:r>
      <w:r>
        <w:t xml:space="preserve">Terrain Occlusion</w:t>
      </w:r>
    </w:p>
    <w:p>
      <w:pPr>
        <w:pStyle w:val="FirstParagraph"/>
      </w:pPr>
      <w:r>
        <w:t xml:space="preserve">Identifier:</w:t>
      </w:r>
      <w:r>
        <w:t xml:space="preserve"> </w:t>
      </w:r>
      <w:r>
        <w:rPr>
          <w:rStyle w:val="VerbatimChar"/>
        </w:rPr>
        <w:t xml:space="preserve">pxl-terrain-st</w:t>
      </w:r>
    </w:p>
    <w:bookmarkStart w:id="144" w:name="threshold-requirements-26"/>
    <w:p>
      <w:pPr>
        <w:pStyle w:val="berschrift5"/>
      </w:pPr>
      <w:r>
        <w:t xml:space="preserve">Threshold requirements:</w:t>
      </w:r>
    </w:p>
    <w:p>
      <w:pPr>
        <w:pStyle w:val="FirstParagraph"/>
      </w:pPr>
      <w:r>
        <w:t xml:space="preserve">Not required.</w:t>
      </w:r>
      <w:r>
        <w:t xml:space="preserve"> </w:t>
      </w:r>
    </w:p>
    <w:bookmarkEnd w:id="144"/>
    <w:bookmarkStart w:id="145" w:name="goal-requirements-26"/>
    <w:p>
      <w:pPr>
        <w:pStyle w:val="berschrift5"/>
      </w:pPr>
      <w:r>
        <w:t xml:space="preserve">Goal requirements:</w:t>
      </w:r>
    </w:p>
    <w:p>
      <w:pPr>
        <w:pStyle w:val="FirstParagraph"/>
      </w:pPr>
      <w:r>
        <w:t xml:space="preserve">Specification of whether pixels are not visible to the sensor due to terrain occlusion during off-nadir viewing.</w:t>
      </w:r>
    </w:p>
    <w:bookmarkEnd w:id="145"/>
    <w:bookmarkStart w:id="146" w:name="assessment-26"/>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bookmarkEnd w:id="146"/>
    <w:bookmarkEnd w:id="147"/>
    <w:bookmarkEnd w:id="148"/>
    <w:bookmarkStart w:id="165" w:name="sec:rac"/>
    <w:p>
      <w:pPr>
        <w:pStyle w:val="berschrift3"/>
      </w:pPr>
      <w:r>
        <w:rPr>
          <w:rStyle w:val="VerbatimChar"/>
        </w:rPr>
        <w:t xml:space="preserve">3.</w:t>
      </w:r>
      <w:r>
        <w:t xml:space="preserve"> </w:t>
      </w:r>
      <w:r>
        <w:t xml:space="preserve">Radiometric and Atmospheric Corrections</w:t>
      </w:r>
    </w:p>
    <w:p>
      <w:pPr>
        <w:pStyle w:val="FirstParagraph"/>
      </w:pPr>
      <w:r>
        <w:t xml:space="preserve">The following requirements must be met for all pixels in a collection.</w:t>
      </w:r>
      <w:r>
        <w:t xml:space="preserve"> </w:t>
      </w:r>
      <w:r>
        <w:t xml:space="preserve">The requirements indicate both the necessary outcomes and the minimum steps necessary to be deemed to have achieved those outcomes.</w:t>
      </w:r>
    </w:p>
    <w:bookmarkStart w:id="152" w:name="sec:rac-measur-st"/>
    <w:p>
      <w:pPr>
        <w:pStyle w:val="berschrift4"/>
      </w:pPr>
      <w:r>
        <w:rPr>
          <w:rStyle w:val="VerbatimChar"/>
        </w:rPr>
        <w:t xml:space="preserve">3.1.</w:t>
      </w:r>
      <w:r>
        <w:t xml:space="preserve"> </w:t>
      </w:r>
      <w:r>
        <w:t xml:space="preserve">Measurand</w:t>
      </w:r>
    </w:p>
    <w:p>
      <w:pPr>
        <w:pStyle w:val="FirstParagraph"/>
      </w:pPr>
      <w:r>
        <w:t xml:space="preserve">Identifier:</w:t>
      </w:r>
      <w:r>
        <w:t xml:space="preserve"> </w:t>
      </w:r>
      <w:r>
        <w:rPr>
          <w:rStyle w:val="VerbatimChar"/>
        </w:rPr>
        <w:t xml:space="preserve">rac-measur-st</w:t>
      </w:r>
    </w:p>
    <w:bookmarkStart w:id="149" w:name="threshold-requirements-27"/>
    <w:p>
      <w:pPr>
        <w:pStyle w:val="berschrift5"/>
      </w:pPr>
      <w:r>
        <w:t xml:space="preserve">Threshold requirements:</w:t>
      </w:r>
    </w:p>
    <w:p>
      <w:pPr>
        <w:pStyle w:val="FirstParagraph"/>
      </w:pPr>
      <w:r>
        <w:t xml:space="preserve">Pixel values are a measurement of the Surface Temperature expressed in kelvin.</w:t>
      </w:r>
    </w:p>
    <w:p>
      <w:pPr>
        <w:pStyle w:val="Textkrper"/>
      </w:pPr>
      <w:r>
        <w:t xml:space="preserve">Note:</w:t>
      </w:r>
    </w:p>
    <w:p>
      <w:pPr>
        <w:pStyle w:val="Compact"/>
        <w:numPr>
          <w:ilvl w:val="0"/>
          <w:numId w:val="1037"/>
        </w:numPr>
      </w:pPr>
      <w:r>
        <w:t xml:space="preserve">See</w:t>
      </w:r>
      <w:r>
        <w:t xml:space="preserve"> </w:t>
      </w:r>
      <w:hyperlink w:anchor="sec:meta-specband-st">
        <w:r>
          <w:rPr>
            <w:rStyle w:val="Hyperlink"/>
          </w:rPr>
          <w:t xml:space="preserve">General Metadata: Spectral Bands</w:t>
        </w:r>
      </w:hyperlink>
    </w:p>
    <w:bookmarkEnd w:id="149"/>
    <w:bookmarkStart w:id="150" w:name="goal-requirements-27"/>
    <w:p>
      <w:pPr>
        <w:pStyle w:val="berschrift5"/>
      </w:pPr>
      <w:r>
        <w:t xml:space="preserve">Goal requirements:</w:t>
      </w:r>
    </w:p>
    <w:p>
      <w:pPr>
        <w:pStyle w:val="FirstParagraph"/>
      </w:pPr>
      <w:r>
        <w:t xml:space="preserve">Surface temperature measurements are SI traceable (see also</w:t>
      </w:r>
      <w:r>
        <w:t xml:space="preserve"> </w:t>
      </w:r>
      <w:hyperlink w:anchor="sec:meta-trace-st">
        <w:r>
          <w:rPr>
            <w:rStyle w:val="Hyperlink"/>
          </w:rPr>
          <w:t xml:space="preserve">General Metadata: Metrological Traceability of the Measurand to SI</w:t>
        </w:r>
      </w:hyperlink>
      <w:r>
        <w:t xml:space="preserve">).</w:t>
      </w:r>
    </w:p>
    <w:bookmarkEnd w:id="150"/>
    <w:bookmarkStart w:id="151" w:name="assessment-27"/>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51"/>
    <w:bookmarkEnd w:id="152"/>
    <w:bookmarkStart w:id="156" w:name="sec:rac-catmos"/>
    <w:p>
      <w:pPr>
        <w:pStyle w:val="berschrift4"/>
      </w:pPr>
      <w:r>
        <w:rPr>
          <w:rStyle w:val="VerbatimChar"/>
        </w:rPr>
        <w:t xml:space="preserve">3.2.</w:t>
      </w:r>
      <w:r>
        <w:t xml:space="preserve"> </w:t>
      </w:r>
      <w:r>
        <w:t xml:space="preserve">Corrections for Atmosphere</w:t>
      </w:r>
    </w:p>
    <w:p>
      <w:pPr>
        <w:pStyle w:val="FirstParagraph"/>
      </w:pPr>
      <w:r>
        <w:t xml:space="preserve">Identifier:</w:t>
      </w:r>
      <w:r>
        <w:t xml:space="preserve"> </w:t>
      </w:r>
      <w:r>
        <w:rPr>
          <w:rStyle w:val="VerbatimChar"/>
        </w:rPr>
        <w:t xml:space="preserve">rac-catmos</w:t>
      </w:r>
    </w:p>
    <w:bookmarkStart w:id="153" w:name="threshold-requirements-28"/>
    <w:p>
      <w:pPr>
        <w:pStyle w:val="berschrift5"/>
      </w:pPr>
      <w:r>
        <w:t xml:space="preserve">Threshold requirements:</w:t>
      </w:r>
    </w:p>
    <w:p>
      <w:pPr>
        <w:pStyle w:val="FirstParagraph"/>
      </w:pPr>
      <w:r>
        <w:t xml:space="preserve">Retrieval methods for estimating surface temperature are provided.</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55"/>
    <w:bookmarkEnd w:id="156"/>
    <w:bookmarkStart w:id="160" w:name="sec:rac-emiani"/>
    <w:p>
      <w:pPr>
        <w:pStyle w:val="berschrift4"/>
      </w:pPr>
      <w:r>
        <w:rPr>
          <w:rStyle w:val="VerbatimChar"/>
        </w:rPr>
        <w:t xml:space="preserve">3.3.</w:t>
      </w:r>
      <w:r>
        <w:t xml:space="preserve"> </w:t>
      </w:r>
      <w:r>
        <w:t xml:space="preserve">Adjustments for Emissivity and Anisotropy</w:t>
      </w:r>
    </w:p>
    <w:p>
      <w:pPr>
        <w:pStyle w:val="FirstParagraph"/>
      </w:pPr>
      <w:r>
        <w:t xml:space="preserve">Identifier:</w:t>
      </w:r>
      <w:r>
        <w:t xml:space="preserve"> </w:t>
      </w:r>
      <w:r>
        <w:rPr>
          <w:rStyle w:val="VerbatimChar"/>
        </w:rPr>
        <w:t xml:space="preserve">rac-emiani</w:t>
      </w:r>
    </w:p>
    <w:bookmarkStart w:id="157" w:name="threshold-requirements-29"/>
    <w:p>
      <w:pPr>
        <w:pStyle w:val="berschrift5"/>
      </w:pPr>
      <w:r>
        <w:t xml:space="preserve">Threshold requirements:</w:t>
      </w:r>
    </w:p>
    <w:p>
      <w:pPr>
        <w:pStyle w:val="FirstParagraph"/>
      </w:pPr>
      <w:r>
        <w:t xml:space="preserve">Retrieval methods for estimating surface emissivity per channel are provided.</w:t>
      </w:r>
    </w:p>
    <w:bookmarkEnd w:id="157"/>
    <w:bookmarkStart w:id="158" w:name="goal-requirements-29"/>
    <w:p>
      <w:pPr>
        <w:pStyle w:val="berschrift5"/>
      </w:pPr>
      <w:r>
        <w:t xml:space="preserve">Goal requirements:</w:t>
      </w:r>
    </w:p>
    <w:p>
      <w:pPr>
        <w:pStyle w:val="FirstParagraph"/>
      </w:pPr>
      <w:r>
        <w:t xml:space="preserve">As threshold, but the retrieval method for estimating the total directional emissivity is provided.</w:t>
      </w:r>
    </w:p>
    <w:bookmarkEnd w:id="158"/>
    <w:bookmarkStart w:id="159" w:name="assessment-29"/>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59"/>
    <w:bookmarkEnd w:id="160"/>
    <w:bookmarkStart w:id="164" w:name="sec:rac-muncer-st"/>
    <w:p>
      <w:pPr>
        <w:pStyle w:val="berschrift4"/>
      </w:pPr>
      <w:r>
        <w:rPr>
          <w:rStyle w:val="VerbatimChar"/>
        </w:rPr>
        <w:t xml:space="preserve">3.4.</w:t>
      </w:r>
      <w:r>
        <w:t xml:space="preserve"> </w:t>
      </w:r>
      <w:r>
        <w:t xml:space="preserve">Measurand Uncertainty</w:t>
      </w:r>
    </w:p>
    <w:p>
      <w:pPr>
        <w:pStyle w:val="FirstParagraph"/>
      </w:pPr>
      <w:r>
        <w:t xml:space="preserve">Identifier:</w:t>
      </w:r>
      <w:r>
        <w:t xml:space="preserve"> </w:t>
      </w:r>
      <w:r>
        <w:rPr>
          <w:rStyle w:val="VerbatimChar"/>
        </w:rPr>
        <w:t xml:space="preserve">rac-muncer-st</w:t>
      </w:r>
    </w:p>
    <w:bookmarkStart w:id="161" w:name="threshold-requirements-30"/>
    <w:p>
      <w:pPr>
        <w:pStyle w:val="berschrift5"/>
      </w:pPr>
      <w:r>
        <w:t xml:space="preserve">Threshold requirements:</w:t>
      </w:r>
    </w:p>
    <w:p>
      <w:pPr>
        <w:pStyle w:val="FirstParagraph"/>
      </w:pPr>
      <w:r>
        <w:t xml:space="preserve">A self-assessed declaration of per-pixel measurement uncertainty, following Section 3.2.4 (Uncertainty Characterization) of the Joint Earth Observation Mission Quality Assessment Framework - Optical Guidelines is provided, meeting the Basic or Good criteria.</w:t>
      </w:r>
    </w:p>
    <w:bookmarkEnd w:id="161"/>
    <w:bookmarkStart w:id="162" w:name="goal-requirements-30"/>
    <w:p>
      <w:pPr>
        <w:pStyle w:val="berschrift5"/>
      </w:pPr>
      <w:r>
        <w:t xml:space="preserve">Goal requirements:</w:t>
      </w:r>
    </w:p>
    <w:p>
      <w:pPr>
        <w:pStyle w:val="FirstParagraph"/>
      </w:pPr>
      <w:r>
        <w:t xml:space="preserve">A self-assessed declaration of per-pixel measurement uncertainty, following Section 3.2.4 (Uncertainty Characterization) of the Joint Earth Observation Mission Quality Assessment Framework - Optical Guidelines is provided, meeting the Excellent or Ideal criteria.</w:t>
      </w:r>
    </w:p>
    <w:p>
      <w:pPr>
        <w:pStyle w:val="Textkrper"/>
      </w:pPr>
      <w:r>
        <w:t xml:space="preserve">Note:</w:t>
      </w:r>
    </w:p>
    <w:p>
      <w:pPr>
        <w:pStyle w:val="Compact"/>
        <w:numPr>
          <w:ilvl w:val="0"/>
          <w:numId w:val="1041"/>
        </w:numPr>
      </w:pPr>
      <w:r>
        <w:t xml:space="preserve">https://science.nasa.gov/wp-content/uploads/2026/05/joint-optical-guidelines-jul2025-signed.pdf</w:t>
      </w:r>
    </w:p>
    <w:bookmarkEnd w:id="162"/>
    <w:bookmarkStart w:id="163" w:name="assessment-30"/>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bookmarkEnd w:id="163"/>
    <w:bookmarkEnd w:id="164"/>
    <w:bookmarkEnd w:id="165"/>
    <w:bookmarkStart w:id="170" w:name="sec:gcor"/>
    <w:p>
      <w:pPr>
        <w:pStyle w:val="berschrift3"/>
      </w:pPr>
      <w:r>
        <w:rPr>
          <w:rStyle w:val="VerbatimChar"/>
        </w:rPr>
        <w:t xml:space="preserve">4.</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169" w:name="sec:gcor-geocorr-st"/>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gcor-geocorr-st</w:t>
      </w:r>
    </w:p>
    <w:bookmarkStart w:id="166" w:name="threshold-requirements-31"/>
    <w:p>
      <w:pPr>
        <w:pStyle w:val="berschrift5"/>
      </w:pPr>
      <w:r>
        <w:t xml:space="preserve">Threshold requirements:</w:t>
      </w:r>
    </w:p>
    <w:p>
      <w:pPr>
        <w:pStyle w:val="FirstParagraph"/>
      </w:pPr>
      <w:r>
        <w:t xml:space="preserve">Sub-pixel uncertainty is achieved in relative geolocation, that is, the pixels from the same instrument and platform are consistently located, and in thus comparable, through time.</w:t>
      </w:r>
    </w:p>
    <w:p>
      <w:pPr>
        <w:pStyle w:val="Textkrper"/>
      </w:pPr>
      <w:r>
        <w:t xml:space="preserve">Sub-pixel uncertainty is taken to be less than or equal to 0.5 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w:t>
      </w:r>
      <w:r>
        <w:t xml:space="preserve"> </w:t>
      </w:r>
      <w:hyperlink w:anchor="sec:meta-geounc-st">
        <w:r>
          <w:rPr>
            <w:rStyle w:val="Hyperlink"/>
          </w:rPr>
          <w:t xml:space="preserve">General Metadata: Geometric Uncertainty of the Data</w:t>
        </w:r>
      </w:hyperlink>
      <w:r>
        <w:t xml:space="preserve"> </w:t>
      </w:r>
      <w:r>
        <w:t xml:space="preserve">and</w:t>
      </w:r>
      <w:r>
        <w:t xml:space="preserve"> </w:t>
      </w:r>
      <w:hyperlink w:anchor="sec:meta-instru-st">
        <w:r>
          <w:rPr>
            <w:rStyle w:val="Hyperlink"/>
          </w:rPr>
          <w:t xml:space="preserve">General Metadata: Instrument</w:t>
        </w:r>
      </w:hyperlink>
      <w:r>
        <w:t xml:space="preserve">.</w:t>
      </w:r>
    </w:p>
    <w:p>
      <w:pPr>
        <w:pStyle w:val="Textkrper"/>
      </w:pPr>
      <w:r>
        <w:t xml:space="preserve">Notes:</w:t>
      </w:r>
    </w:p>
    <w:p>
      <w:pPr>
        <w:pStyle w:val="Compact"/>
        <w:numPr>
          <w:ilvl w:val="0"/>
          <w:numId w:val="1043"/>
        </w:numPr>
      </w:pPr>
      <w:r>
        <w:t xml:space="preserve">The threshold level will not necessarily enable interoperability between data from different sources as the geometric corrections for each of the sources may differ.</w:t>
      </w:r>
    </w:p>
    <w:p>
      <w:pPr>
        <w:pStyle w:val="Compact"/>
        <w:numPr>
          <w:ilvl w:val="0"/>
          <w:numId w:val="1043"/>
        </w:numPr>
      </w:pPr>
      <w:r>
        <w:t xml:space="preserve">It is useful to note if the sensor is used at its native resolution before geometric correction or that some resampling must be done.</w:t>
      </w:r>
    </w:p>
    <w:bookmarkEnd w:id="166"/>
    <w:bookmarkStart w:id="167" w:name="goal-requirements-31"/>
    <w:p>
      <w:pPr>
        <w:pStyle w:val="berschrift5"/>
      </w:pPr>
      <w:r>
        <w:t xml:space="preserve">Goal requirements:</w:t>
      </w:r>
    </w:p>
    <w:p>
      <w:pPr>
        <w:pStyle w:val="FirstParagraph"/>
      </w:pPr>
      <w:r>
        <w:t xml:space="preserve">Sub-pixel uncertainty is achieved relative to an identified absolute independent terrestrial referencing system (such as a national map grid).</w:t>
      </w:r>
    </w:p>
    <w:p>
      <w:pPr>
        <w:pStyle w:val="Textkrper"/>
      </w:pPr>
      <w:r>
        <w:t xml:space="preserve">Relevant metadata must be provided under</w:t>
      </w:r>
      <w:r>
        <w:t xml:space="preserve"> </w:t>
      </w:r>
      <w:hyperlink w:anchor="sec:meta-geounc-st">
        <w:r>
          <w:rPr>
            <w:rStyle w:val="Hyperlink"/>
          </w:rPr>
          <w:t xml:space="preserve">General Metadata: Geometric Uncertainty of the Data</w:t>
        </w:r>
      </w:hyperlink>
      <w:r>
        <w:t xml:space="preserve"> </w:t>
      </w:r>
      <w:r>
        <w:t xml:space="preserve">and</w:t>
      </w:r>
      <w:r>
        <w:t xml:space="preserve"> </w:t>
      </w:r>
      <w:hyperlink w:anchor="sec:meta-instru-st">
        <w:r>
          <w:rPr>
            <w:rStyle w:val="Hyperlink"/>
          </w:rPr>
          <w:t xml:space="preserve">General Metadata: Instrument</w:t>
        </w:r>
      </w:hyperlink>
      <w:r>
        <w:t xml:space="preserve">.</w:t>
      </w:r>
    </w:p>
    <w:p>
      <w:pPr>
        <w:pStyle w:val="Textkrper"/>
      </w:pPr>
      <w:r>
        <w:t xml:space="preserve">Note:</w:t>
      </w:r>
    </w:p>
    <w:p>
      <w:pPr>
        <w:pStyle w:val="Compact"/>
        <w:numPr>
          <w:ilvl w:val="0"/>
          <w:numId w:val="1044"/>
        </w:numPr>
      </w:pPr>
      <w:r>
        <w:t xml:space="preserve">This requirement is intended to enable interoperability between imagery from different platforms that meet this level of correction, and with non-image spatial data such as GIS layers and terrain models.</w:t>
      </w:r>
    </w:p>
    <w:bookmarkEnd w:id="167"/>
    <w:bookmarkStart w:id="168" w:name="assessment-31"/>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p>
      <w:r>
        <w:br w:type="page"/>
      </w:r>
    </w:p>
    <w:bookmarkEnd w:id="168"/>
    <w:bookmarkEnd w:id="169"/>
    <w:bookmarkEnd w:id="170"/>
    <w:bookmarkEnd w:id="171"/>
    <w:bookmarkStart w:id="176" w:name="summary-self-assessment-table"/>
    <w:p>
      <w:pPr>
        <w:pStyle w:val="berschrift2"/>
      </w:pPr>
      <w:r>
        <w:t xml:space="preserve">Summary Self-Assessment Table</w:t>
      </w:r>
    </w:p>
    <w:bookmarkStart w:id="172"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meta-ardver</w:t>
            </w:r>
          </w:p>
        </w:tc>
        <w:tc>
          <w:tcPr/>
          <w:p>
            <w:pPr>
              <w:pStyle w:val="Compact"/>
            </w:pPr>
            <w:r>
              <w:t xml:space="preserve">CEOS-ARD PFS Compliance Version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meta-trace-st</w:t>
            </w:r>
          </w:p>
        </w:tc>
        <w:tc>
          <w:tcPr/>
          <w:p>
            <w:pPr>
              <w:pStyle w:val="Compact"/>
            </w:pPr>
            <w:r>
              <w:t xml:space="preserve">Metrological Traceability of the Measurand to SI</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meta-memare-st</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meta-time-st</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meta-crs-ar</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meta-mapproj-ar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meta-geocorm-st</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meta-geounc-st</w:t>
            </w:r>
          </w:p>
        </w:tc>
        <w:tc>
          <w:tcPr/>
          <w:p>
            <w:pPr>
              <w:pStyle w:val="Compact"/>
            </w:pPr>
            <w:r>
              <w:t xml:space="preserve">Geometric Uncertainty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meta-instru-st</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meta-specband-st</w:t>
            </w:r>
          </w:p>
        </w:tc>
        <w:tc>
          <w:tcPr/>
          <w:p>
            <w:pPr>
              <w:pStyle w:val="Compact"/>
            </w:pPr>
            <w:r>
              <w:t xml:space="preserve">Spectral Bands</w:t>
            </w:r>
          </w:p>
        </w:tc>
        <w:tc>
          <w:tcPr/>
          <w:p>
            <w:pPr>
              <w:pStyle w:val="Compact"/>
            </w:pPr>
          </w:p>
        </w:tc>
        <w:tc>
          <w:tcPr/>
          <w:p>
            <w:pPr>
              <w:pStyle w:val="Compact"/>
            </w:pPr>
          </w:p>
        </w:tc>
      </w:tr>
      <w:tr>
        <w:tc>
          <w:tcPr/>
          <w:p>
            <w:pPr>
              <w:pStyle w:val="Compact"/>
            </w:pPr>
            <w:r>
              <w:rPr>
                <w:rStyle w:val="VerbatimChar"/>
              </w:rPr>
              <w:t xml:space="preserve">meta-sencal-st</w:t>
            </w:r>
          </w:p>
        </w:tc>
        <w:tc>
          <w:tcPr/>
          <w:p>
            <w:pPr>
              <w:pStyle w:val="Compact"/>
            </w:pPr>
            <w:r>
              <w:t xml:space="preserve">Sensor Calibration</w:t>
            </w:r>
          </w:p>
        </w:tc>
        <w:tc>
          <w:tcPr/>
          <w:p>
            <w:pPr>
              <w:pStyle w:val="Compact"/>
            </w:pPr>
          </w:p>
        </w:tc>
        <w:tc>
          <w:tcPr/>
          <w:p>
            <w:pPr>
              <w:pStyle w:val="Compact"/>
            </w:pPr>
          </w:p>
        </w:tc>
      </w:tr>
      <w:tr>
        <w:tc>
          <w:tcPr/>
          <w:p>
            <w:pPr>
              <w:pStyle w:val="Compact"/>
            </w:pPr>
            <w:r>
              <w:rPr>
                <w:rStyle w:val="VerbatimChar"/>
              </w:rPr>
              <w:t xml:space="preserve">meta-measurunc</w:t>
            </w:r>
          </w:p>
        </w:tc>
        <w:tc>
          <w:tcPr/>
          <w:p>
            <w:pPr>
              <w:pStyle w:val="Compact"/>
            </w:pPr>
            <w:r>
              <w:t xml:space="preserve">Measurand Uncertainty</w:t>
            </w:r>
          </w:p>
        </w:tc>
        <w:tc>
          <w:tcPr/>
          <w:p>
            <w:pPr>
              <w:pStyle w:val="Compact"/>
            </w:pPr>
          </w:p>
        </w:tc>
        <w:tc>
          <w:tcPr/>
          <w:p>
            <w:pPr>
              <w:pStyle w:val="Compact"/>
            </w:pPr>
          </w:p>
        </w:tc>
      </w:tr>
      <w:tr>
        <w:tc>
          <w:tcPr/>
          <w:p>
            <w:pPr>
              <w:pStyle w:val="Compact"/>
            </w:pPr>
            <w:r>
              <w:rPr>
                <w:rStyle w:val="VerbatimChar"/>
              </w:rPr>
              <w:t xml:space="preserve">meta-measurenc</w:t>
            </w:r>
          </w:p>
        </w:tc>
        <w:tc>
          <w:tcPr/>
          <w:p>
            <w:pPr>
              <w:pStyle w:val="Compact"/>
            </w:pPr>
            <w:r>
              <w:t xml:space="preserve">Measurand Encoding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meta-malgos-st</w:t>
            </w:r>
          </w:p>
        </w:tc>
        <w:tc>
          <w:tcPr/>
          <w:p>
            <w:pPr>
              <w:pStyle w:val="Compact"/>
            </w:pPr>
            <w:r>
              <w:t xml:space="preserve">Algorithms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meta-auxdat-st</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meta-proprov-st</w:t>
            </w:r>
          </w:p>
        </w:tc>
        <w:tc>
          <w:tcPr/>
          <w:p>
            <w:pPr>
              <w:pStyle w:val="Compact"/>
            </w:pPr>
            <w:r>
              <w:t xml:space="preserve">Processing Chain Provenance</w:t>
            </w:r>
          </w:p>
        </w:tc>
        <w:tc>
          <w:tcPr/>
          <w:p>
            <w:pPr>
              <w:pStyle w:val="Compact"/>
            </w:pPr>
          </w:p>
        </w:tc>
        <w:tc>
          <w:tcPr/>
          <w:p>
            <w:pPr>
              <w:pStyle w:val="Compact"/>
            </w:pPr>
          </w:p>
        </w:tc>
      </w:tr>
      <w:tr>
        <w:tc>
          <w:tcPr/>
          <w:p>
            <w:pPr>
              <w:pStyle w:val="Compact"/>
            </w:pPr>
            <w:r>
              <w:rPr>
                <w:rStyle w:val="VerbatimChar"/>
              </w:rPr>
              <w:t xml:space="preserve">meta-daccess-st</w:t>
            </w:r>
          </w:p>
        </w:tc>
        <w:tc>
          <w:tcPr/>
          <w:p>
            <w:pPr>
              <w:pStyle w:val="Compact"/>
            </w:pPr>
            <w:r>
              <w:t xml:space="preserve">Data Access</w:t>
            </w:r>
          </w:p>
        </w:tc>
        <w:tc>
          <w:tcPr/>
          <w:p>
            <w:pPr>
              <w:pStyle w:val="Compact"/>
            </w:pPr>
          </w:p>
        </w:tc>
        <w:tc>
          <w:tcPr/>
          <w:p>
            <w:pPr>
              <w:pStyle w:val="Compact"/>
            </w:pPr>
          </w:p>
        </w:tc>
      </w:tr>
      <w:tr>
        <w:tc>
          <w:tcPr/>
          <w:p>
            <w:pPr>
              <w:pStyle w:val="Compact"/>
            </w:pPr>
            <w:r>
              <w:rPr>
                <w:rStyle w:val="VerbatimChar"/>
              </w:rPr>
              <w:t xml:space="preserve">meta-valpix</w:t>
            </w:r>
          </w:p>
        </w:tc>
        <w:tc>
          <w:tcPr/>
          <w:p>
            <w:pPr>
              <w:pStyle w:val="Compact"/>
            </w:pPr>
            <w:r>
              <w:t xml:space="preserve">Valid Pixels</w:t>
            </w:r>
          </w:p>
        </w:tc>
        <w:tc>
          <w:tcPr/>
          <w:p>
            <w:pPr>
              <w:pStyle w:val="Compact"/>
            </w:pPr>
          </w:p>
        </w:tc>
        <w:tc>
          <w:tcPr/>
          <w:p>
            <w:pPr>
              <w:pStyle w:val="Compact"/>
              <w:jc w:val="center"/>
            </w:pPr>
            <w:r>
              <w:rPr>
                <w:i/>
                <w:iCs/>
              </w:rPr>
              <w:t xml:space="preserve">as threshold</w:t>
            </w:r>
          </w:p>
        </w:tc>
      </w:tr>
    </w:tbl>
    <w:bookmarkEnd w:id="172"/>
    <w:bookmarkStart w:id="173"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pxl-pinodat-st</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pxl-pincot-st</w:t>
            </w:r>
          </w:p>
        </w:tc>
        <w:tc>
          <w:tcPr/>
          <w:p>
            <w:pPr>
              <w:pStyle w:val="Compact"/>
            </w:pPr>
            <w:r>
              <w:t xml:space="preserve">Incomplete Testing</w:t>
            </w:r>
          </w:p>
        </w:tc>
        <w:tc>
          <w:tcPr/>
          <w:p>
            <w:pPr>
              <w:pStyle w:val="Compact"/>
            </w:pPr>
          </w:p>
        </w:tc>
        <w:tc>
          <w:tcPr/>
          <w:p>
            <w:pPr>
              <w:pStyle w:val="Compact"/>
            </w:pPr>
          </w:p>
        </w:tc>
      </w:tr>
      <w:tr>
        <w:tc>
          <w:tcPr/>
          <w:p>
            <w:pPr>
              <w:pStyle w:val="Compact"/>
            </w:pPr>
            <w:r>
              <w:rPr>
                <w:rStyle w:val="VerbatimChar"/>
              </w:rPr>
              <w:t xml:space="preserve">pxl-pisatur-ar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pxl-picloud-st</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pxl-picloudsh-st</w:t>
            </w:r>
          </w:p>
        </w:tc>
        <w:tc>
          <w:tcPr/>
          <w:p>
            <w:pPr>
              <w:pStyle w:val="Compact"/>
            </w:pPr>
            <w:r>
              <w:t xml:space="preserve">Cloud Shadow</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pxl-surf-st</w:t>
            </w:r>
          </w:p>
        </w:tc>
        <w:tc>
          <w:tcPr/>
          <w:p>
            <w:pPr>
              <w:pStyle w:val="Compact"/>
            </w:pPr>
            <w:r>
              <w:t xml:space="preserve">Surface</w:t>
            </w:r>
          </w:p>
        </w:tc>
        <w:tc>
          <w:tcPr/>
          <w:p>
            <w:pPr>
              <w:pStyle w:val="Compact"/>
            </w:pPr>
          </w:p>
        </w:tc>
        <w:tc>
          <w:tcPr/>
          <w:p>
            <w:pPr>
              <w:pStyle w:val="Compact"/>
            </w:pPr>
          </w:p>
        </w:tc>
      </w:tr>
      <w:tr>
        <w:tc>
          <w:tcPr/>
          <w:p>
            <w:pPr>
              <w:pStyle w:val="Compact"/>
            </w:pPr>
            <w:r>
              <w:rPr>
                <w:rStyle w:val="VerbatimChar"/>
              </w:rPr>
              <w:t xml:space="preserve">pxl-vigeso-ar</w:t>
            </w:r>
          </w:p>
        </w:tc>
        <w:tc>
          <w:tcPr/>
          <w:p>
            <w:pPr>
              <w:pStyle w:val="Compact"/>
            </w:pPr>
            <w:r>
              <w:t xml:space="preserve">Solar and Viewing Geometry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pxl-terrain-st</w:t>
            </w:r>
          </w:p>
        </w:tc>
        <w:tc>
          <w:tcPr/>
          <w:p>
            <w:pPr>
              <w:pStyle w:val="Compact"/>
            </w:pPr>
            <w:r>
              <w:t xml:space="preserve">Terrain Occlusion</w:t>
            </w:r>
          </w:p>
        </w:tc>
        <w:tc>
          <w:tcPr/>
          <w:p>
            <w:pPr>
              <w:pStyle w:val="Compact"/>
              <w:jc w:val="center"/>
            </w:pPr>
            <w:r>
              <w:rPr>
                <w:i/>
                <w:iCs/>
              </w:rPr>
              <w:t xml:space="preserve">not required</w:t>
            </w:r>
          </w:p>
        </w:tc>
        <w:tc>
          <w:tcPr/>
          <w:p>
            <w:pPr>
              <w:pStyle w:val="Compact"/>
            </w:pPr>
          </w:p>
        </w:tc>
      </w:tr>
    </w:tbl>
    <w:bookmarkEnd w:id="173"/>
    <w:bookmarkStart w:id="174" w:name="radiometric-and-atmospheric-corrections"/>
    <w:p>
      <w:pPr>
        <w:pStyle w:val="berschrift3"/>
      </w:pPr>
      <w:r>
        <w:t xml:space="preserve">Radiometric and Atmospheric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rac-measur-st</w:t>
            </w:r>
          </w:p>
        </w:tc>
        <w:tc>
          <w:tcPr/>
          <w:p>
            <w:pPr>
              <w:pStyle w:val="Compact"/>
            </w:pPr>
            <w:r>
              <w:t xml:space="preserve">Measurand</w:t>
            </w:r>
          </w:p>
        </w:tc>
        <w:tc>
          <w:tcPr/>
          <w:p>
            <w:pPr>
              <w:pStyle w:val="Compact"/>
            </w:pPr>
          </w:p>
        </w:tc>
        <w:tc>
          <w:tcPr/>
          <w:p>
            <w:pPr>
              <w:pStyle w:val="Compact"/>
            </w:pPr>
          </w:p>
        </w:tc>
      </w:tr>
      <w:tr>
        <w:tc>
          <w:tcPr/>
          <w:p>
            <w:pPr>
              <w:pStyle w:val="Compact"/>
            </w:pPr>
            <w:r>
              <w:rPr>
                <w:rStyle w:val="VerbatimChar"/>
              </w:rPr>
              <w:t xml:space="preserve">rac-catmos</w:t>
            </w:r>
          </w:p>
        </w:tc>
        <w:tc>
          <w:tcPr/>
          <w:p>
            <w:pPr>
              <w:pStyle w:val="Compact"/>
            </w:pPr>
            <w:r>
              <w:t xml:space="preserve">Corrections for Atmosphere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rac-emiani</w:t>
            </w:r>
          </w:p>
        </w:tc>
        <w:tc>
          <w:tcPr/>
          <w:p>
            <w:pPr>
              <w:pStyle w:val="Compact"/>
            </w:pPr>
            <w:r>
              <w:t xml:space="preserve">Adjustments for Emissivity and Anisotropy</w:t>
            </w:r>
          </w:p>
        </w:tc>
        <w:tc>
          <w:tcPr/>
          <w:p>
            <w:pPr>
              <w:pStyle w:val="Compact"/>
            </w:pPr>
          </w:p>
        </w:tc>
        <w:tc>
          <w:tcPr/>
          <w:p>
            <w:pPr>
              <w:pStyle w:val="Compact"/>
            </w:pPr>
          </w:p>
        </w:tc>
      </w:tr>
      <w:tr>
        <w:tc>
          <w:tcPr/>
          <w:p>
            <w:pPr>
              <w:pStyle w:val="Compact"/>
            </w:pPr>
            <w:r>
              <w:rPr>
                <w:rStyle w:val="VerbatimChar"/>
              </w:rPr>
              <w:t xml:space="preserve">rac-muncer-st</w:t>
            </w:r>
          </w:p>
        </w:tc>
        <w:tc>
          <w:tcPr/>
          <w:p>
            <w:pPr>
              <w:pStyle w:val="Compact"/>
            </w:pPr>
            <w:r>
              <w:t xml:space="preserve">Measurand Uncertainty</w:t>
            </w:r>
          </w:p>
        </w:tc>
        <w:tc>
          <w:tcPr/>
          <w:p>
            <w:pPr>
              <w:pStyle w:val="Compact"/>
            </w:pPr>
          </w:p>
        </w:tc>
        <w:tc>
          <w:tcPr/>
          <w:p>
            <w:pPr>
              <w:pStyle w:val="Compact"/>
            </w:pPr>
          </w:p>
        </w:tc>
      </w:tr>
    </w:tbl>
    <w:bookmarkEnd w:id="174"/>
    <w:bookmarkStart w:id="175"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gcor-geocorr-st</w:t>
            </w:r>
          </w:p>
        </w:tc>
        <w:tc>
          <w:tcPr/>
          <w:p>
            <w:pPr>
              <w:pStyle w:val="Compact"/>
            </w:pPr>
            <w:r>
              <w:t xml:space="preserve">Geometric Correction</w:t>
            </w:r>
          </w:p>
        </w:tc>
        <w:tc>
          <w:tcPr/>
          <w:p>
            <w:pPr>
              <w:pStyle w:val="Compact"/>
            </w:pPr>
          </w:p>
        </w:tc>
        <w:tc>
          <w:tcPr/>
          <w:p>
            <w:pPr>
              <w:pStyle w:val="Compact"/>
            </w:pPr>
          </w:p>
        </w:tc>
      </w:tr>
    </w:tbl>
    <w:p>
      <w:r>
        <w:br w:type="page"/>
      </w:r>
    </w:p>
    <w:bookmarkEnd w:id="175"/>
    <w:bookmarkEnd w:id="176"/>
    <w:bookmarkStart w:id="181"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177"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177"/>
    <w:bookmarkStart w:id="179"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46"/>
        </w:numPr>
      </w:pPr>
      <w:r>
        <w:t xml:space="preserve">that product has been assessed as meeting CEOS-ARD requirements by the agency responsible for production and distribution of the product, and</w:t>
      </w:r>
    </w:p>
    <w:p>
      <w:pPr>
        <w:pStyle w:val="Compact"/>
        <w:numPr>
          <w:ilvl w:val="0"/>
          <w:numId w:val="1046"/>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178">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179"/>
    <w:bookmarkStart w:id="180"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180"/>
    <w:bookmarkEnd w:id="181"/>
    <w:bookmarkStart w:id="188" w:name="references"/>
    <w:p>
      <w:pPr>
        <w:pStyle w:val="berschrift2"/>
      </w:pPr>
      <w:r>
        <w:t xml:space="preserve">References</w:t>
      </w:r>
    </w:p>
    <w:bookmarkStart w:id="187" w:name="refs"/>
    <w:bookmarkStart w:id="183" w:name="ref-cook2014"/>
    <w:p>
      <w:pPr>
        <w:pStyle w:val="Literaturverzeichnis"/>
      </w:pPr>
      <w:r>
        <w:t xml:space="preserve">Cook, Monica, John R. Schott, John Mandel, and Nina Raqueno. 2014.</w:t>
      </w:r>
      <w:r>
        <w:t xml:space="preserve"> </w:t>
      </w:r>
      <w:r>
        <w:t xml:space="preserve">“Development of an Operational Calibration Methodology for the Landsat Thermal Data Archive and Initial Testing of the Atmospheric Compensation Component of a Land Surface Temperature (LST) Product from the Archive.”</w:t>
      </w:r>
      <w:r>
        <w:t xml:space="preserve"> </w:t>
      </w:r>
      <w:r>
        <w:rPr>
          <w:i/>
          <w:iCs/>
        </w:rPr>
        <w:t xml:space="preserve">Remote Sensing</w:t>
      </w:r>
      <w:r>
        <w:t xml:space="preserve"> </w:t>
      </w:r>
      <w:r>
        <w:t xml:space="preserve">6 (11): 11244–66.</w:t>
      </w:r>
      <w:r>
        <w:t xml:space="preserve"> </w:t>
      </w:r>
      <w:hyperlink r:id="rId182">
        <w:r>
          <w:rPr>
            <w:rStyle w:val="Hyperlink"/>
          </w:rPr>
          <w:t xml:space="preserve">https://doi.org/10.3390/rs61111244</w:t>
        </w:r>
      </w:hyperlink>
      <w:r>
        <w:t xml:space="preserve">.</w:t>
      </w:r>
    </w:p>
    <w:bookmarkEnd w:id="183"/>
    <w:bookmarkStart w:id="184"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184"/>
    <w:bookmarkStart w:id="186" w:name="ref-li2013"/>
    <w:p>
      <w:pPr>
        <w:pStyle w:val="Literaturverzeichnis"/>
      </w:pPr>
      <w:r>
        <w:t xml:space="preserve">Li, Zhao-Liang, Bo-Hui Tang, Hua Wu, et al. 2013.</w:t>
      </w:r>
      <w:r>
        <w:t xml:space="preserve"> </w:t>
      </w:r>
      <w:r>
        <w:t xml:space="preserve">“Satellite-Derived Land Surface Temperature: Current Status and Perspectives.”</w:t>
      </w:r>
      <w:r>
        <w:t xml:space="preserve"> </w:t>
      </w:r>
      <w:r>
        <w:rPr>
          <w:i/>
          <w:iCs/>
        </w:rPr>
        <w:t xml:space="preserve">Remote Sensing of Environment</w:t>
      </w:r>
      <w:r>
        <w:t xml:space="preserve"> </w:t>
      </w:r>
      <w:r>
        <w:t xml:space="preserve">131: 14–37. https://doi.org/</w:t>
      </w:r>
      <w:hyperlink r:id="rId185">
        <w:r>
          <w:rPr>
            <w:rStyle w:val="Hyperlink"/>
          </w:rPr>
          <w:t xml:space="preserve">https://doi.org/10.1016/j.rse.2012.12.008</w:t>
        </w:r>
      </w:hyperlink>
      <w:r>
        <w:t xml:space="preserve">.</w:t>
      </w:r>
    </w:p>
    <w:bookmarkEnd w:id="186"/>
    <w:bookmarkEnd w:id="187"/>
    <w:bookmarkEnd w:id="188"/>
    <w:bookmarkEnd w:id="189"/>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178" Target="https://ceos.org/ard/files/CEOS_ARD_Governance_Framework_18-October-2021.pdf" TargetMode="External" /><Relationship Type="http://schemas.openxmlformats.org/officeDocument/2006/relationships/hyperlink" Id="rId75" Target="https://database.eohandbook.com" TargetMode="External" /><Relationship Type="http://schemas.openxmlformats.org/officeDocument/2006/relationships/hyperlink" Id="rId185" Target="https://doi.org/10.1016/j.rse.2012.12.008" TargetMode="External" /><Relationship Type="http://schemas.openxmlformats.org/officeDocument/2006/relationships/hyperlink" Id="rId182" Target="https://doi.org/10.3390/rs61111244"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178" Target="https://ceos.org/ard/files/CEOS_ARD_Governance_Framework_18-October-2021.pdf" TargetMode="External" /><Relationship Type="http://schemas.openxmlformats.org/officeDocument/2006/relationships/hyperlink" Id="rId75" Target="https://database.eohandbook.com" TargetMode="External" /><Relationship Type="http://schemas.openxmlformats.org/officeDocument/2006/relationships/hyperlink" Id="rId185" Target="https://doi.org/10.1016/j.rse.2012.12.008" TargetMode="External" /><Relationship Type="http://schemas.openxmlformats.org/officeDocument/2006/relationships/hyperlink" Id="rId182" Target="https://doi.org/10.3390/rs61111244"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Surface Temperature - Version 6.0.0-draft</dc:title>
  <dc:creator/>
  <dc:language>en</dc:language>
  <cp:keywords/>
  <dcterms:created xsi:type="dcterms:W3CDTF">2026-09-15T18:59:10Z</dcterms:created>
  <dcterms:modified xsi:type="dcterms:W3CDTF">2026-09-15T18:59:10Z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/home/runner/work/ceos-ard/ceos-ard/build/ST.bib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