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183" w:name="Xe911ae266491487195a6432c70703895974df78"/>
    <w:p>
      <w:pPr>
        <w:pStyle w:val="berschrift1"/>
      </w:pPr>
      <w:r>
        <w:t xml:space="preserve">CEOS-ARD - Optical - Surface Brightness Temperature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Brightness Temperature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0" w:name="document-history"/>
    <w:p>
      <w:pPr>
        <w:pStyle w:val="berschrift2"/>
      </w:pPr>
      <w:r>
        <w:t xml:space="preserve">Document History</w:t>
      </w:r>
    </w:p>
    <w:p>
      <w:pPr>
        <w:pStyle w:val="FirstParagraph"/>
      </w:pPr>
      <w:r>
        <w:t xml:space="preserve">Not available, see previous versions of the document for its history.</w:t>
      </w:r>
    </w:p>
    <w:bookmarkEnd w:id="30"/>
    <w:bookmarkStart w:id="31" w:name="contributing-authors"/>
    <w:p>
      <w:pPr>
        <w:pStyle w:val="berschrift2"/>
      </w:pPr>
      <w:r>
        <w:t xml:space="preserve">Contributing Authors</w:t>
      </w:r>
    </w:p>
    <w:p>
      <w:pPr>
        <w:pStyle w:val="Compact"/>
        <w:numPr>
          <w:ilvl w:val="0"/>
          <w:numId w:val="1001"/>
        </w:numPr>
      </w:pPr>
      <w:r>
        <w:t xml:space="preserve">Mathias Gergely (Aistech Space)</w:t>
      </w:r>
    </w:p>
    <w:p>
      <w:pPr>
        <w:pStyle w:val="Compact"/>
        <w:numPr>
          <w:ilvl w:val="0"/>
          <w:numId w:val="1001"/>
        </w:numPr>
      </w:pPr>
      <w:r>
        <w:t xml:space="preserve">Harvey Jones (CEOS-ARD Secretariat)</w:t>
      </w:r>
    </w:p>
    <w:p>
      <w:pPr>
        <w:pStyle w:val="Compact"/>
        <w:numPr>
          <w:ilvl w:val="0"/>
          <w:numId w:val="1001"/>
        </w:numPr>
      </w:pPr>
      <w:r>
        <w:t xml:space="preserve">Emilie Delogu (CNES)</w:t>
      </w:r>
    </w:p>
    <w:p>
      <w:pPr>
        <w:pStyle w:val="Compact"/>
        <w:numPr>
          <w:ilvl w:val="0"/>
          <w:numId w:val="1001"/>
        </w:numPr>
      </w:pPr>
      <w:r>
        <w:t xml:space="preserve">Andreas Brunn (Constellr)</w:t>
      </w:r>
    </w:p>
    <w:p>
      <w:pPr>
        <w:pStyle w:val="Compact"/>
        <w:numPr>
          <w:ilvl w:val="0"/>
          <w:numId w:val="1001"/>
        </w:numPr>
      </w:pPr>
      <w:r>
        <w:t xml:space="preserve">Andreas Dietz (DLR)</w:t>
      </w:r>
    </w:p>
    <w:p>
      <w:pPr>
        <w:pStyle w:val="Compact"/>
        <w:numPr>
          <w:ilvl w:val="0"/>
          <w:numId w:val="1001"/>
        </w:numPr>
      </w:pPr>
      <w:r>
        <w:t xml:space="preserve">Philipp Reiners (DLR)</w:t>
      </w:r>
    </w:p>
    <w:p>
      <w:pPr>
        <w:pStyle w:val="Compact"/>
        <w:numPr>
          <w:ilvl w:val="0"/>
          <w:numId w:val="1001"/>
        </w:numPr>
      </w:pPr>
      <w:r>
        <w:t xml:space="preserve">Fraser Parlane (EarthDaily)</w:t>
      </w:r>
    </w:p>
    <w:p>
      <w:pPr>
        <w:pStyle w:val="Compact"/>
        <w:numPr>
          <w:ilvl w:val="0"/>
          <w:numId w:val="1001"/>
        </w:numPr>
      </w:pPr>
      <w:r>
        <w:t xml:space="preserve">Peter Strobl (EC)</w:t>
      </w:r>
    </w:p>
    <w:p>
      <w:pPr>
        <w:pStyle w:val="Compact"/>
        <w:numPr>
          <w:ilvl w:val="0"/>
          <w:numId w:val="1001"/>
        </w:numPr>
      </w:pPr>
      <w:r>
        <w:t xml:space="preserve">Silvia Scifoni (ESA/Serco)</w:t>
      </w:r>
    </w:p>
    <w:p>
      <w:pPr>
        <w:pStyle w:val="Compact"/>
        <w:numPr>
          <w:ilvl w:val="0"/>
          <w:numId w:val="1001"/>
        </w:numPr>
      </w:pPr>
      <w:r>
        <w:t xml:space="preserve">Adam Lewis (Geoscience Australia)</w:t>
      </w:r>
    </w:p>
    <w:p>
      <w:pPr>
        <w:pStyle w:val="Compact"/>
        <w:numPr>
          <w:ilvl w:val="0"/>
          <w:numId w:val="1001"/>
        </w:numPr>
      </w:pPr>
      <w:r>
        <w:t xml:space="preserve">Jonathon Ross (Geoscience Australia)</w:t>
      </w:r>
    </w:p>
    <w:p>
      <w:pPr>
        <w:pStyle w:val="Compact"/>
        <w:numPr>
          <w:ilvl w:val="0"/>
          <w:numId w:val="1001"/>
        </w:numPr>
      </w:pPr>
      <w:r>
        <w:t xml:space="preserve">Andreia Siqueira (Geoscience Australia)</w:t>
      </w:r>
    </w:p>
    <w:p>
      <w:pPr>
        <w:pStyle w:val="Compact"/>
        <w:numPr>
          <w:ilvl w:val="0"/>
          <w:numId w:val="1001"/>
        </w:numPr>
      </w:pPr>
      <w:r>
        <w:t xml:space="preserve">Siri Jodha Khalsa (IEEE)</w:t>
      </w:r>
    </w:p>
    <w:p>
      <w:pPr>
        <w:pStyle w:val="Compact"/>
        <w:numPr>
          <w:ilvl w:val="0"/>
          <w:numId w:val="1001"/>
        </w:numPr>
      </w:pPr>
      <w:r>
        <w:t xml:space="preserve">Jean-Francois Piolle (IFREMER)</w:t>
      </w:r>
    </w:p>
    <w:p>
      <w:pPr>
        <w:pStyle w:val="Compact"/>
        <w:numPr>
          <w:ilvl w:val="0"/>
          <w:numId w:val="1001"/>
        </w:numPr>
      </w:pPr>
      <w:r>
        <w:t xml:space="preserve">Misako Kachi (JAXA)</w:t>
      </w:r>
    </w:p>
    <w:p>
      <w:pPr>
        <w:pStyle w:val="Compact"/>
        <w:numPr>
          <w:ilvl w:val="0"/>
          <w:numId w:val="1001"/>
        </w:numPr>
      </w:pPr>
      <w:r>
        <w:t xml:space="preserve">Matthias Mohr (MoreGeo)</w:t>
      </w:r>
    </w:p>
    <w:p>
      <w:pPr>
        <w:pStyle w:val="Compact"/>
        <w:numPr>
          <w:ilvl w:val="0"/>
          <w:numId w:val="1001"/>
        </w:numPr>
      </w:pPr>
      <w:r>
        <w:t xml:space="preserve">Edward M. Armstrong (NASA/JPL/CalTech)</w:t>
      </w:r>
    </w:p>
    <w:p>
      <w:pPr>
        <w:pStyle w:val="Compact"/>
        <w:numPr>
          <w:ilvl w:val="0"/>
          <w:numId w:val="1001"/>
        </w:numPr>
      </w:pPr>
      <w:r>
        <w:t xml:space="preserve">Mark de Jong (NRCan)</w:t>
      </w:r>
    </w:p>
    <w:p>
      <w:pPr>
        <w:pStyle w:val="Compact"/>
        <w:numPr>
          <w:ilvl w:val="0"/>
          <w:numId w:val="1001"/>
        </w:numPr>
      </w:pPr>
      <w:r>
        <w:t xml:space="preserve">Anastasia Sarelli (OroraTech)</w:t>
      </w:r>
    </w:p>
    <w:p>
      <w:pPr>
        <w:pStyle w:val="Compact"/>
        <w:numPr>
          <w:ilvl w:val="0"/>
          <w:numId w:val="1001"/>
        </w:numPr>
      </w:pPr>
      <w:r>
        <w:t xml:space="preserve">Josephine Wong (OroraTech)</w:t>
      </w:r>
    </w:p>
    <w:p>
      <w:pPr>
        <w:pStyle w:val="Compact"/>
        <w:numPr>
          <w:ilvl w:val="0"/>
          <w:numId w:val="1001"/>
        </w:numPr>
      </w:pPr>
      <w:r>
        <w:t xml:space="preserve">Daniel Evans (SatVu)</w:t>
      </w:r>
    </w:p>
    <w:p>
      <w:pPr>
        <w:pStyle w:val="Compact"/>
        <w:numPr>
          <w:ilvl w:val="0"/>
          <w:numId w:val="1001"/>
        </w:numPr>
      </w:pPr>
      <w:r>
        <w:t xml:space="preserve">Jamie McMillan (SatVu)</w:t>
      </w:r>
    </w:p>
    <w:p>
      <w:pPr>
        <w:pStyle w:val="Compact"/>
        <w:numPr>
          <w:ilvl w:val="0"/>
          <w:numId w:val="1001"/>
        </w:numPr>
      </w:pPr>
      <w:r>
        <w:t xml:space="preserve">Darren Ghent (University of Leicester)</w:t>
      </w:r>
    </w:p>
    <w:p>
      <w:pPr>
        <w:pStyle w:val="Compact"/>
        <w:numPr>
          <w:ilvl w:val="0"/>
          <w:numId w:val="1001"/>
        </w:numPr>
      </w:pPr>
      <w:r>
        <w:t xml:space="preserve">Chase Mueller (USGS)</w:t>
      </w:r>
    </w:p>
    <w:p>
      <w:pPr>
        <w:pStyle w:val="Compact"/>
        <w:numPr>
          <w:ilvl w:val="0"/>
          <w:numId w:val="1001"/>
        </w:numPr>
      </w:pPr>
      <w:r>
        <w:t xml:space="preserve">Chris Barnes (USGS)</w:t>
      </w:r>
    </w:p>
    <w:p>
      <w:pPr>
        <w:pStyle w:val="Compact"/>
        <w:numPr>
          <w:ilvl w:val="0"/>
          <w:numId w:val="1001"/>
        </w:numPr>
      </w:pPr>
      <w:r>
        <w:t xml:space="preserve">Darcie Bontje (USGS)</w:t>
      </w:r>
    </w:p>
    <w:p>
      <w:pPr>
        <w:pStyle w:val="Compact"/>
        <w:numPr>
          <w:ilvl w:val="0"/>
          <w:numId w:val="1001"/>
        </w:numPr>
      </w:pPr>
      <w:r>
        <w:t xml:space="preserve">Mary Metzger (USGS)</w:t>
      </w:r>
    </w:p>
    <w:p>
      <w:pPr>
        <w:pStyle w:val="Compact"/>
        <w:numPr>
          <w:ilvl w:val="0"/>
          <w:numId w:val="1001"/>
        </w:numPr>
      </w:pPr>
      <w:r>
        <w:t xml:space="preserve">Steve Labahn (USGS)</w:t>
      </w:r>
    </w:p>
    <w:p>
      <w:r>
        <w:br w:type="page"/>
      </w:r>
    </w:p>
    <w:bookmarkEnd w:id="31"/>
    <w:bookmarkStart w:id="32"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2"/>
    <w:bookmarkStart w:id="33" w:name="description"/>
    <w:p>
      <w:pPr>
        <w:pStyle w:val="berschrift2"/>
      </w:pPr>
      <w:r>
        <w:t xml:space="preserve">Description</w:t>
      </w:r>
    </w:p>
    <w:p>
      <w:pPr>
        <w:pStyle w:val="FirstParagraph"/>
      </w:pPr>
      <w:r>
        <w:rPr>
          <w:b/>
          <w:bCs/>
        </w:rPr>
        <w:t xml:space="preserve">Product Family Specification:</w:t>
      </w:r>
      <w:r>
        <w:t xml:space="preserve"> </w:t>
      </w:r>
      <w:r>
        <w:t xml:space="preserve">Optical, Surface Brightness Temperature (SBT)</w:t>
      </w:r>
    </w:p>
    <w:p>
      <w:pPr>
        <w:pStyle w:val="Textkrper"/>
      </w:pPr>
      <w:r>
        <w:rPr>
          <w:b/>
          <w:bCs/>
        </w:rPr>
        <w:t xml:space="preserve">Version:</w:t>
      </w:r>
      <w:r>
        <w:t xml:space="preserve"> </w:t>
      </w:r>
      <w:r>
        <w:t xml:space="preserve">1.0.0-draft</w:t>
      </w:r>
    </w:p>
    <w:p>
      <w:pPr>
        <w:pStyle w:val="Textkrper"/>
      </w:pPr>
      <w:r>
        <w:rPr>
          <w:b/>
          <w:bCs/>
        </w:rPr>
        <w:t xml:space="preserve">Applies to:</w:t>
      </w:r>
      <w:r>
        <w:t xml:space="preserve"> </w:t>
      </w:r>
      <w:r>
        <w:t xml:space="preserve">Data collected with satellite sensors operating in the thermal infrared (TIR and MWIR) and microwave wavelengths. These typically operate with ground sample distance and resolution in the order 1 dm - 50 km however the specification is not inherently limited to these resolutions.</w:t>
      </w:r>
    </w:p>
    <w:bookmarkEnd w:id="33"/>
    <w:bookmarkStart w:id="34" w:name="background"/>
    <w:p>
      <w:pPr>
        <w:pStyle w:val="berschrift2"/>
      </w:pPr>
      <w:r>
        <w:t xml:space="preserve">Background</w:t>
      </w:r>
    </w:p>
    <w:p>
      <w:pPr>
        <w:pStyle w:val="FirstParagraph"/>
      </w:pPr>
      <w:r>
        <w:t xml:space="preserve">Remotely sensed surface temperature measurements tend to be provided as surface brightness temperature (SBT), land surface temperature (LST), water surface temperature (WST), or ice surface temperature (IST), where LST, WST, and IST are derived from SBT accounting for the emissivity of the target. This specification identifies SBT as being the minimum or Threshold requirement for analysis ready surface data.</w:t>
      </w:r>
    </w:p>
    <w:p>
      <w:r>
        <w:br w:type="page"/>
      </w:r>
    </w:p>
    <w:bookmarkEnd w:id="34"/>
    <w:bookmarkStart w:id="35" w:name="definitions-and-abbreviations"/>
    <w:p>
      <w:pPr>
        <w:pStyle w:val="berschrift2"/>
      </w:pPr>
      <w:r>
        <w:t xml:space="preserve">Definitions and Abbreviations</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LST</w:t>
      </w:r>
    </w:p>
    <w:p>
      <w:pPr>
        <w:pStyle w:val="Definition"/>
      </w:pPr>
      <w:r>
        <w:t xml:space="preserve">Land Surface Temperature</w:t>
      </w:r>
    </w:p>
    <w:p>
      <w:pPr>
        <w:pStyle w:val="DefinitionTerm"/>
      </w:pPr>
      <w:r>
        <w:t xml:space="preserve">rRMSE</w:t>
      </w:r>
    </w:p>
    <w:p>
      <w:pPr>
        <w:pStyle w:val="Definition"/>
      </w:pPr>
      <w:r>
        <w:t xml:space="preserve">Radial Root Mean Square Error</w:t>
      </w:r>
    </w:p>
    <w:p>
      <w:pPr>
        <w:pStyle w:val="DefinitionTerm"/>
      </w:pPr>
      <w:r>
        <w:t xml:space="preserve">SBT</w:t>
      </w:r>
    </w:p>
    <w:p>
      <w:pPr>
        <w:pStyle w:val="Definition"/>
      </w:pPr>
      <w:r>
        <w:t xml:space="preserve">Surface Brightness Temperature</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ST</w:t>
      </w:r>
    </w:p>
    <w:p>
      <w:pPr>
        <w:pStyle w:val="Definition"/>
      </w:pPr>
      <w:r>
        <w:t xml:space="preserve">Surface Temperature</w:t>
      </w:r>
    </w:p>
    <w:p>
      <w:pPr>
        <w:pStyle w:val="DefinitionTerm"/>
      </w:pPr>
      <w:r>
        <w:t xml:space="preserve">TIR</w:t>
      </w:r>
    </w:p>
    <w:p>
      <w:pPr>
        <w:pStyle w:val="Definition"/>
      </w:pPr>
      <w:r>
        <w:t xml:space="preserve">Thermal Infrared</w:t>
      </w:r>
    </w:p>
    <w:p>
      <w:pPr>
        <w:pStyle w:val="DefinitionTerm"/>
      </w:pPr>
      <w:r>
        <w:t xml:space="preserve">UTC</w:t>
      </w:r>
    </w:p>
    <w:p>
      <w:pPr>
        <w:pStyle w:val="Definition"/>
      </w:pPr>
      <w:r>
        <w:t xml:space="preserve">Coordinated Universal Time</w:t>
      </w:r>
    </w:p>
    <w:p>
      <w:pPr>
        <w:pStyle w:val="DefinitionTerm"/>
      </w:pPr>
      <w:r>
        <w:t xml:space="preserve">WGS84</w:t>
      </w:r>
    </w:p>
    <w:p>
      <w:pPr>
        <w:pStyle w:val="Definition"/>
      </w:pPr>
      <w:r>
        <w:t xml:space="preserve">World Geodetic System 1984</w:t>
      </w:r>
    </w:p>
    <w:p>
      <w:r>
        <w:br w:type="page"/>
      </w:r>
    </w:p>
    <w:bookmarkEnd w:id="35"/>
    <w:bookmarkStart w:id="165"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3"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39"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6"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6"/>
    <w:bookmarkStart w:id="37" w:name="goal-requirements"/>
    <w:p>
      <w:pPr>
        <w:pStyle w:val="berschrift5"/>
      </w:pPr>
      <w:r>
        <w:t xml:space="preserve">Goal requirements:</w:t>
      </w:r>
    </w:p>
    <w:p>
      <w:pPr>
        <w:pStyle w:val="FirstParagraph"/>
      </w:pPr>
      <w:r>
        <w:t xml:space="preserve">As threshold.</w:t>
      </w:r>
      <w:r>
        <w:t xml:space="preserve"> </w:t>
      </w:r>
    </w:p>
    <w:bookmarkEnd w:id="37"/>
    <w:bookmarkStart w:id="38" w:name="assessment"/>
    <w:p>
      <w:pPr>
        <w:pStyle w:val="berschrift5"/>
      </w:pPr>
      <w:r>
        <w:t xml:space="preserve">Assessment:</w:t>
      </w:r>
    </w:p>
    <w:p>
      <w:pPr>
        <w:pStyle w:val="Compact"/>
        <w:numPr>
          <w:ilvl w:val="0"/>
          <w:numId w:val="1002"/>
        </w:numPr>
      </w:pPr>
      <w:r>
        <w:t xml:space="preserve">Threshold Self-Assessment:</w:t>
      </w:r>
    </w:p>
    <w:p>
      <w:pPr>
        <w:pStyle w:val="Compact"/>
        <w:numPr>
          <w:ilvl w:val="0"/>
          <w:numId w:val="1002"/>
        </w:numPr>
      </w:pPr>
      <w:r>
        <w:t xml:space="preserve">Goal Self-Assessment:</w:t>
      </w:r>
    </w:p>
    <w:p>
      <w:pPr>
        <w:pStyle w:val="Compact"/>
        <w:numPr>
          <w:ilvl w:val="0"/>
          <w:numId w:val="1002"/>
        </w:numPr>
      </w:pPr>
      <w:r>
        <w:t xml:space="preserve">Self-Assessment Explanation/ Justification:</w:t>
      </w:r>
    </w:p>
    <w:p>
      <w:pPr>
        <w:pStyle w:val="Compact"/>
        <w:numPr>
          <w:ilvl w:val="0"/>
          <w:numId w:val="1002"/>
        </w:numPr>
      </w:pPr>
      <w:r>
        <w:t xml:space="preserve">Recommended Requirement Modification:</w:t>
      </w:r>
    </w:p>
    <w:p>
      <w:r>
        <w:pict>
          <v:rect style="width:0;height:1.5pt" o:hralign="center" o:hrstd="t" o:hr="t"/>
        </w:pict>
      </w:r>
    </w:p>
    <w:bookmarkEnd w:id="38"/>
    <w:bookmarkEnd w:id="39"/>
    <w:bookmarkStart w:id="43" w:name="sec:meta-trace-st"/>
    <w:p>
      <w:pPr>
        <w:pStyle w:val="berschrift4"/>
      </w:pPr>
      <w:r>
        <w:rPr>
          <w:rStyle w:val="VerbatimChar"/>
        </w:rPr>
        <w:t xml:space="preserve">1.2.</w:t>
      </w:r>
      <w:r>
        <w:t xml:space="preserve"> </w:t>
      </w:r>
      <w:r>
        <w:t xml:space="preserve">Metrological Traceability of the Measurand to SI</w:t>
      </w:r>
    </w:p>
    <w:p>
      <w:pPr>
        <w:pStyle w:val="FirstParagraph"/>
      </w:pPr>
      <w:r>
        <w:t xml:space="preserve">Identifier:</w:t>
      </w:r>
      <w:r>
        <w:t xml:space="preserve"> </w:t>
      </w:r>
      <w:r>
        <w:rPr>
          <w:rStyle w:val="VerbatimChar"/>
        </w:rPr>
        <w:t xml:space="preserve">meta-trace-st</w:t>
      </w:r>
    </w:p>
    <w:bookmarkStart w:id="40" w:name="threshold-requirements-1"/>
    <w:p>
      <w:pPr>
        <w:pStyle w:val="berschrift5"/>
      </w:pPr>
      <w:r>
        <w:t xml:space="preserve">Threshold requirements:</w:t>
      </w:r>
    </w:p>
    <w:p>
      <w:pPr>
        <w:pStyle w:val="FirstParagraph"/>
      </w:pPr>
      <w:r>
        <w:t xml:space="preserve">Not required.</w:t>
      </w:r>
      <w:r>
        <w:t xml:space="preserve"> </w:t>
      </w:r>
    </w:p>
    <w:bookmarkEnd w:id="40"/>
    <w:bookmarkStart w:id="41" w:name="goal-requirements-1"/>
    <w:p>
      <w:pPr>
        <w:pStyle w:val="berschrift5"/>
      </w:pPr>
      <w:r>
        <w:t xml:space="preserve">Goal requirements:</w:t>
      </w:r>
    </w:p>
    <w:p>
      <w:pPr>
        <w:pStyle w:val="FirstParagraph"/>
      </w:pPr>
      <w:r>
        <w:t xml:space="preserve">Data must be traceable to SI reference standard, documented by URL or DOI.</w:t>
      </w:r>
    </w:p>
    <w:p>
      <w:pPr>
        <w:pStyle w:val="Textkrper"/>
      </w:pPr>
      <w:r>
        <w:t xml:space="preserve">Note:</w:t>
      </w:r>
    </w:p>
    <w:p>
      <w:pPr>
        <w:pStyle w:val="Compact"/>
        <w:numPr>
          <w:ilvl w:val="0"/>
          <w:numId w:val="1003"/>
        </w:numPr>
      </w:pPr>
      <w:r>
        <w:t xml:space="preserve">SI Traceability requires an estimate of measurement uncertainty (see</w:t>
      </w:r>
      <w:r>
        <w:t xml:space="preserve"> </w:t>
      </w:r>
      <w:hyperlink w:anchor="sec:rac-muncer-st">
        <w:r>
          <w:rPr>
            <w:rStyle w:val="Hyperlink"/>
          </w:rPr>
          <w:t xml:space="preserve">Radiometric and Atmospheric Corrections: Measurand Uncertainty</w:t>
        </w:r>
      </w:hyperlink>
      <w:r>
        <w:t xml:space="preserve">).</w:t>
      </w:r>
    </w:p>
    <w:bookmarkEnd w:id="41"/>
    <w:bookmarkStart w:id="42" w:name="assessment-1"/>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2"/>
    <w:bookmarkEnd w:id="43"/>
    <w:bookmarkStart w:id="47" w:name="sec:meta-memare-st"/>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meta-memare-st</w:t>
      </w:r>
    </w:p>
    <w:bookmarkStart w:id="44"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4"/>
    <w:bookmarkStart w:id="45" w:name="goal-requirements-2"/>
    <w:p>
      <w:pPr>
        <w:pStyle w:val="berschrift5"/>
      </w:pPr>
      <w:r>
        <w:t xml:space="preserve">Goal requirements:</w:t>
      </w:r>
    </w:p>
    <w:p>
      <w:pPr>
        <w:pStyle w:val="FirstParagraph"/>
      </w:pPr>
      <w:r>
        <w:t xml:space="preserve">As threshold, but metadata is provided in a community endorsed standard that facilitates machine-readability, such as CEOS-ARD Metadata Specifications, ISO 19115-2, STAC, the Climate and Forecast (CF) convention, or the Attribute Convention for Data Discovery (ACDD).</w:t>
      </w:r>
    </w:p>
    <w:bookmarkEnd w:id="45"/>
    <w:bookmarkStart w:id="46" w:name="assessment-2"/>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6"/>
    <w:bookmarkEnd w:id="47"/>
    <w:bookmarkStart w:id="51" w:name="sec:meta-time-st"/>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meta-time-st</w:t>
      </w:r>
    </w:p>
    <w:bookmarkStart w:id="48"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p>
      <w:pPr>
        <w:pStyle w:val="Textkrper"/>
      </w:pPr>
      <w:r>
        <w:t xml:space="preserve">In the case of composite or mosaic products, the dates/times of the first and last data takes are provided with the product.</w:t>
      </w:r>
    </w:p>
    <w:bookmarkEnd w:id="48"/>
    <w:bookmarkStart w:id="49"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49"/>
    <w:bookmarkStart w:id="50" w:name="assessment-3"/>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50"/>
    <w:bookmarkEnd w:id="51"/>
    <w:bookmarkStart w:id="55"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2"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2"/>
    <w:bookmarkStart w:id="53"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3"/>
    <w:bookmarkStart w:id="54" w:name="assessment-4"/>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4"/>
    <w:bookmarkEnd w:id="55"/>
    <w:bookmarkStart w:id="59"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6" w:name="threshold-requirements-5"/>
    <w:p>
      <w:pPr>
        <w:pStyle w:val="berschrift5"/>
      </w:pPr>
      <w:r>
        <w:t xml:space="preserve">Threshold requirements:</w:t>
      </w:r>
    </w:p>
    <w:p>
      <w:pPr>
        <w:pStyle w:val="FirstParagraph"/>
      </w:pPr>
      <w:r>
        <w:t xml:space="preserve">The coordinate reference system that has been used is detailed.</w:t>
      </w:r>
    </w:p>
    <w:bookmarkEnd w:id="56"/>
    <w:bookmarkStart w:id="57" w:name="goal-requirements-5"/>
    <w:p>
      <w:pPr>
        <w:pStyle w:val="berschrift5"/>
      </w:pPr>
      <w:r>
        <w:t xml:space="preserve">Goal requirements:</w:t>
      </w:r>
    </w:p>
    <w:p>
      <w:pPr>
        <w:pStyle w:val="FirstParagraph"/>
      </w:pPr>
      <w:r>
        <w:t xml:space="preserve">As threshold.</w:t>
      </w:r>
      <w:r>
        <w:t xml:space="preserve"> </w:t>
      </w:r>
    </w:p>
    <w:bookmarkEnd w:id="57"/>
    <w:bookmarkStart w:id="58" w:name="assessment-5"/>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8"/>
    <w:bookmarkEnd w:id="59"/>
    <w:bookmarkStart w:id="63"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0"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0"/>
    <w:bookmarkStart w:id="61" w:name="goal-requirements-6"/>
    <w:p>
      <w:pPr>
        <w:pStyle w:val="berschrift5"/>
      </w:pPr>
      <w:r>
        <w:t xml:space="preserve">Goal requirements:</w:t>
      </w:r>
    </w:p>
    <w:p>
      <w:pPr>
        <w:pStyle w:val="FirstParagraph"/>
      </w:pPr>
      <w:r>
        <w:t xml:space="preserve">As threshold.</w:t>
      </w:r>
      <w:r>
        <w:t xml:space="preserve"> </w:t>
      </w:r>
    </w:p>
    <w:bookmarkEnd w:id="61"/>
    <w:bookmarkStart w:id="62" w:name="assessment-6"/>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2"/>
    <w:bookmarkEnd w:id="63"/>
    <w:bookmarkStart w:id="67" w:name="sec:meta-geocorm-st"/>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meta-geocorm-st</w:t>
      </w:r>
    </w:p>
    <w:bookmarkStart w:id="64" w:name="threshold-requirements-7"/>
    <w:p>
      <w:pPr>
        <w:pStyle w:val="berschrift5"/>
      </w:pPr>
      <w:r>
        <w:t xml:space="preserve">Threshold requirements:</w:t>
      </w:r>
    </w:p>
    <w:p>
      <w:pPr>
        <w:pStyle w:val="FirstParagraph"/>
      </w:pPr>
      <w:r>
        <w:t xml:space="preserve">Not required.</w:t>
      </w:r>
      <w:r>
        <w:t xml:space="preserve"> </w:t>
      </w:r>
    </w:p>
    <w:bookmarkEnd w:id="64"/>
    <w:bookmarkStart w:id="65"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 documented by URL or DOI.</w:t>
      </w:r>
    </w:p>
    <w:bookmarkEnd w:id="65"/>
    <w:bookmarkStart w:id="66" w:name="assessment-7"/>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6"/>
    <w:bookmarkEnd w:id="67"/>
    <w:bookmarkStart w:id="71" w:name="sec:meta-geounc-st"/>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meta-geounc-st</w:t>
      </w:r>
    </w:p>
    <w:bookmarkStart w:id="68" w:name="threshold-requirements-8"/>
    <w:p>
      <w:pPr>
        <w:pStyle w:val="berschrift5"/>
      </w:pPr>
      <w:r>
        <w:t xml:space="preserve">Threshold requirements:</w:t>
      </w:r>
    </w:p>
    <w:p>
      <w:pPr>
        <w:pStyle w:val="FirstParagraph"/>
      </w:pPr>
      <w:r>
        <w:t xml:space="preserve">Not required.</w:t>
      </w:r>
      <w:r>
        <w:t xml:space="preserve"> </w:t>
      </w:r>
    </w:p>
    <w:bookmarkEnd w:id="68"/>
    <w:bookmarkStart w:id="69"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 and documented by URL or DOI.</w:t>
      </w:r>
    </w:p>
    <w:bookmarkEnd w:id="69"/>
    <w:bookmarkStart w:id="70" w:name="assessment-8"/>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70"/>
    <w:bookmarkEnd w:id="71"/>
    <w:bookmarkStart w:id="76" w:name="sec:meta-instru-st"/>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meta-instru-st</w:t>
      </w:r>
    </w:p>
    <w:bookmarkStart w:id="72" w:name="threshold-requirements-9"/>
    <w:p>
      <w:pPr>
        <w:pStyle w:val="berschrift5"/>
      </w:pPr>
      <w:r>
        <w:t xml:space="preserve">Threshold requirements:</w:t>
      </w:r>
    </w:p>
    <w:p>
      <w:pPr>
        <w:pStyle w:val="FirstParagraph"/>
      </w:pPr>
      <w:r>
        <w:t xml:space="preserve">The instrument used to collect the data is identified.</w:t>
      </w:r>
    </w:p>
    <w:p>
      <w:pPr>
        <w:pStyle w:val="Compact"/>
        <w:numPr>
          <w:ilvl w:val="0"/>
          <w:numId w:val="1012"/>
        </w:numPr>
      </w:pPr>
      <w:r>
        <w:t xml:space="preserve">Satellite name</w:t>
      </w:r>
    </w:p>
    <w:p>
      <w:pPr>
        <w:pStyle w:val="Compact"/>
        <w:numPr>
          <w:ilvl w:val="0"/>
          <w:numId w:val="1012"/>
        </w:numPr>
      </w:pPr>
      <w:r>
        <w:t xml:space="preserve">Instrument name</w:t>
      </w:r>
    </w:p>
    <w:bookmarkEnd w:id="72"/>
    <w:bookmarkStart w:id="74" w:name="goal-requirements-9"/>
    <w:p>
      <w:pPr>
        <w:pStyle w:val="berschrift5"/>
      </w:pPr>
      <w:r>
        <w:t xml:space="preserve">Goal requirements:</w:t>
      </w:r>
    </w:p>
    <w:p>
      <w:pPr>
        <w:pStyle w:val="FirstParagraph"/>
      </w:pPr>
      <w:r>
        <w:t xml:space="preserve">As threshold, with references to the relevant</w:t>
      </w:r>
      <w:r>
        <w:t xml:space="preserve"> </w:t>
      </w:r>
      <w:r>
        <w:t xml:space="preserve">“CEOS Missions, Instruments and Measurements”</w:t>
      </w:r>
      <w:r>
        <w:t xml:space="preserve"> </w:t>
      </w:r>
      <w:r>
        <w:t xml:space="preserve">(MIM) database record (</w:t>
      </w:r>
      <w:hyperlink r:id="rId73">
        <w:r>
          <w:rPr>
            <w:rStyle w:val="Hyperlink"/>
          </w:rPr>
          <w:t xml:space="preserve">database.eohandbook.com</w:t>
        </w:r>
      </w:hyperlink>
      <w:r>
        <w:t xml:space="preserve">).</w:t>
      </w:r>
    </w:p>
    <w:bookmarkEnd w:id="74"/>
    <w:bookmarkStart w:id="75" w:name="assessment-9"/>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5"/>
    <w:bookmarkEnd w:id="76"/>
    <w:bookmarkStart w:id="80" w:name="sec:meta-specband-st"/>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meta-specband-st</w:t>
      </w:r>
    </w:p>
    <w:bookmarkStart w:id="77" w:name="threshold-requirements-10"/>
    <w:p>
      <w:pPr>
        <w:pStyle w:val="berschrift5"/>
      </w:pPr>
      <w:r>
        <w:t xml:space="preserve">Threshold requirements:</w:t>
      </w:r>
    </w:p>
    <w:p>
      <w:pPr>
        <w:pStyle w:val="FirstParagraph"/>
      </w:pPr>
      <w:r>
        <w:t xml:space="preserve">Spectral response function and method of assessment is provided.</w:t>
      </w:r>
    </w:p>
    <w:bookmarkEnd w:id="77"/>
    <w:bookmarkStart w:id="78" w:name="goal-requirements-10"/>
    <w:p>
      <w:pPr>
        <w:pStyle w:val="berschrift5"/>
      </w:pPr>
      <w:r>
        <w:t xml:space="preserve">Goal requirements:</w:t>
      </w:r>
    </w:p>
    <w:p>
      <w:pPr>
        <w:pStyle w:val="FirstParagraph"/>
      </w:pPr>
      <w:r>
        <w:t xml:space="preserve">As threshold, but information on spectral bands is documented by URL or DOI.</w:t>
      </w:r>
    </w:p>
    <w:bookmarkEnd w:id="78"/>
    <w:bookmarkStart w:id="79" w:name="assessment-10"/>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9"/>
    <w:bookmarkEnd w:id="80"/>
    <w:bookmarkStart w:id="84" w:name="sec:meta-sencal-st"/>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meta-sencal-st</w:t>
      </w:r>
    </w:p>
    <w:bookmarkStart w:id="81" w:name="threshold-requirements-11"/>
    <w:p>
      <w:pPr>
        <w:pStyle w:val="berschrift5"/>
      </w:pPr>
      <w:r>
        <w:t xml:space="preserve">Threshold requirements:</w:t>
      </w:r>
    </w:p>
    <w:p>
      <w:pPr>
        <w:pStyle w:val="FirstParagraph"/>
      </w:pPr>
      <w:r>
        <w:t xml:space="preserve">Binary description of calibrated/not calibrated only.</w:t>
      </w:r>
    </w:p>
    <w:bookmarkEnd w:id="81"/>
    <w:bookmarkStart w:id="82" w:name="goal-requirements-11"/>
    <w:p>
      <w:pPr>
        <w:pStyle w:val="berschrift5"/>
      </w:pPr>
      <w:r>
        <w:t xml:space="preserve">Goal requirements:</w:t>
      </w:r>
    </w:p>
    <w:p>
      <w:pPr>
        <w:pStyle w:val="FirstParagraph"/>
      </w:pPr>
      <w:r>
        <w:t xml:space="preserve">Sensor calibration parameters are identified or can be accessed using details included in the metadata, documented by URL or DOI.</w:t>
      </w:r>
    </w:p>
    <w:p>
      <w:pPr>
        <w:pStyle w:val="Textkrper"/>
      </w:pPr>
      <w:r>
        <w:t xml:space="preserve">Ideally this would support machine-to-machine access.</w:t>
      </w:r>
    </w:p>
    <w:bookmarkEnd w:id="82"/>
    <w:bookmarkStart w:id="83" w:name="assessment-11"/>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83"/>
    <w:bookmarkEnd w:id="84"/>
    <w:bookmarkStart w:id="88" w:name="sec:meta-measurunc"/>
    <w:p>
      <w:pPr>
        <w:pStyle w:val="berschrift4"/>
      </w:pPr>
      <w:r>
        <w:rPr>
          <w:rStyle w:val="VerbatimChar"/>
        </w:rPr>
        <w:t xml:space="preserve">1.13.</w:t>
      </w:r>
      <w:r>
        <w:t xml:space="preserve"> </w:t>
      </w:r>
      <w:r>
        <w:t xml:space="preserve">Measurand Uncertainty</w:t>
      </w:r>
    </w:p>
    <w:p>
      <w:pPr>
        <w:pStyle w:val="FirstParagraph"/>
      </w:pPr>
      <w:r>
        <w:t xml:space="preserve">Identifier:</w:t>
      </w:r>
      <w:r>
        <w:t xml:space="preserve"> </w:t>
      </w:r>
      <w:r>
        <w:rPr>
          <w:rStyle w:val="VerbatimChar"/>
        </w:rPr>
        <w:t xml:space="preserve">meta-measurunc</w:t>
      </w:r>
    </w:p>
    <w:bookmarkStart w:id="85" w:name="threshold-requirements-12"/>
    <w:p>
      <w:pPr>
        <w:pStyle w:val="berschrift5"/>
      </w:pPr>
      <w:r>
        <w:t xml:space="preserve">Threshold requirements:</w:t>
      </w:r>
    </w:p>
    <w:p>
      <w:pPr>
        <w:pStyle w:val="FirstParagraph"/>
      </w:pPr>
      <w:r>
        <w:t xml:space="preserve">Methods of determining the assessed measurand uncertainty of the version of the data are specified, documented by URL or DOI.</w:t>
      </w:r>
    </w:p>
    <w:bookmarkEnd w:id="85"/>
    <w:bookmarkStart w:id="86" w:name="goal-requirements-12"/>
    <w:p>
      <w:pPr>
        <w:pStyle w:val="berschrift5"/>
      </w:pPr>
      <w:r>
        <w:t xml:space="preserve">Goal requirements:</w:t>
      </w:r>
    </w:p>
    <w:p>
      <w:pPr>
        <w:pStyle w:val="FirstParagraph"/>
      </w:pPr>
      <w:r>
        <w:t xml:space="preserve">As threshold, but the absolute measurand uncertainty of the data is provided.</w:t>
      </w:r>
    </w:p>
    <w:bookmarkEnd w:id="86"/>
    <w:bookmarkStart w:id="87" w:name="assessment-12"/>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7"/>
    <w:bookmarkEnd w:id="88"/>
    <w:bookmarkStart w:id="92" w:name="sec:meta-measurenc"/>
    <w:p>
      <w:pPr>
        <w:pStyle w:val="berschrift4"/>
      </w:pPr>
      <w:r>
        <w:rPr>
          <w:rStyle w:val="VerbatimChar"/>
        </w:rPr>
        <w:t xml:space="preserve">1.14.</w:t>
      </w:r>
      <w:r>
        <w:t xml:space="preserve"> </w:t>
      </w:r>
      <w:r>
        <w:t xml:space="preserve">Measurand Encoding</w:t>
      </w:r>
    </w:p>
    <w:p>
      <w:pPr>
        <w:pStyle w:val="FirstParagraph"/>
      </w:pPr>
      <w:r>
        <w:t xml:space="preserve">Identifier:</w:t>
      </w:r>
      <w:r>
        <w:t xml:space="preserve"> </w:t>
      </w:r>
      <w:r>
        <w:rPr>
          <w:rStyle w:val="VerbatimChar"/>
        </w:rPr>
        <w:t xml:space="preserve">meta-measurenc</w:t>
      </w:r>
    </w:p>
    <w:bookmarkStart w:id="89" w:name="threshold-requirements-13"/>
    <w:p>
      <w:pPr>
        <w:pStyle w:val="berschrift5"/>
      </w:pPr>
      <w:r>
        <w:t xml:space="preserve">Threshold requirements:</w:t>
      </w:r>
    </w:p>
    <w:p>
      <w:pPr>
        <w:pStyle w:val="FirstParagraph"/>
      </w:pPr>
      <w:r>
        <w:t xml:space="preserve">Range and bit depth are provided.</w:t>
      </w:r>
    </w:p>
    <w:bookmarkEnd w:id="89"/>
    <w:bookmarkStart w:id="90" w:name="goal-requirements-13"/>
    <w:p>
      <w:pPr>
        <w:pStyle w:val="berschrift5"/>
      </w:pPr>
      <w:r>
        <w:t xml:space="preserve">Goal requirements:</w:t>
      </w:r>
    </w:p>
    <w:p>
      <w:pPr>
        <w:pStyle w:val="FirstParagraph"/>
      </w:pPr>
      <w:r>
        <w:t xml:space="preserve">As threshold.</w:t>
      </w:r>
      <w:r>
        <w:t xml:space="preserve"> </w:t>
      </w:r>
    </w:p>
    <w:bookmarkEnd w:id="90"/>
    <w:bookmarkStart w:id="91" w:name="assessment-13"/>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91"/>
    <w:bookmarkEnd w:id="92"/>
    <w:bookmarkStart w:id="96" w:name="sec:meta-malgos-st"/>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meta-malgos-st</w:t>
      </w:r>
    </w:p>
    <w:bookmarkStart w:id="93" w:name="threshold-requirements-14"/>
    <w:p>
      <w:pPr>
        <w:pStyle w:val="berschrift5"/>
      </w:pPr>
      <w:r>
        <w:t xml:space="preserve">Threshold requirements:</w:t>
      </w:r>
    </w:p>
    <w:p>
      <w:pPr>
        <w:pStyle w:val="FirstParagraph"/>
      </w:pPr>
      <w:r>
        <w:t xml:space="preserve">Not required.</w:t>
      </w:r>
      <w:r>
        <w:t xml:space="preserve"> </w:t>
      </w:r>
    </w:p>
    <w:bookmarkEnd w:id="93"/>
    <w:bookmarkStart w:id="94" w:name="goal-requirements-14"/>
    <w:p>
      <w:pPr>
        <w:pStyle w:val="berschrift5"/>
      </w:pPr>
      <w:r>
        <w:t xml:space="preserve">Goal requirements:</w:t>
      </w:r>
    </w:p>
    <w:p>
      <w:pPr>
        <w:pStyle w:val="FirstParagraph"/>
      </w:pPr>
      <w:r>
        <w:t xml:space="preserve">All algorithms and the sequence in which they were applied in the generation process are identified and documented by URL or DOI.</w:t>
      </w:r>
    </w:p>
    <w:p>
      <w:pPr>
        <w:pStyle w:val="Textkrper"/>
      </w:pPr>
      <w:r>
        <w:t xml:space="preserve">Algorithms must be published and validated, and a description of the validation process is included.</w:t>
      </w:r>
    </w:p>
    <w:bookmarkEnd w:id="94"/>
    <w:bookmarkStart w:id="95" w:name="assessment-14"/>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95"/>
    <w:bookmarkEnd w:id="96"/>
    <w:bookmarkStart w:id="100" w:name="sec:meta-auxdat-st"/>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meta-auxdat-st</w:t>
      </w:r>
    </w:p>
    <w:bookmarkStart w:id="97" w:name="threshold-requirements-15"/>
    <w:p>
      <w:pPr>
        <w:pStyle w:val="berschrift5"/>
      </w:pPr>
      <w:r>
        <w:t xml:space="preserve">Threshold requirements:</w:t>
      </w:r>
    </w:p>
    <w:p>
      <w:pPr>
        <w:pStyle w:val="FirstParagraph"/>
      </w:pPr>
      <w:r>
        <w:t xml:space="preserve">Lists the sources of auxiliary data used in the generation process, documented by URL or DOI.</w:t>
      </w:r>
    </w:p>
    <w:p>
      <w:pPr>
        <w:pStyle w:val="Textkrper"/>
      </w:pPr>
      <w:r>
        <w:t xml:space="preserve">Note:</w:t>
      </w:r>
    </w:p>
    <w:p>
      <w:pPr>
        <w:pStyle w:val="Compact"/>
        <w:numPr>
          <w:ilvl w:val="0"/>
          <w:numId w:val="1019"/>
        </w:numPr>
      </w:pPr>
      <w:r>
        <w:t xml:space="preserve">Auxiliary data includes DEMs, aerosols, water vapor, Climate Modeling Grids, and any other data sources used in product generation.</w:t>
      </w:r>
    </w:p>
    <w:bookmarkEnd w:id="97"/>
    <w:bookmarkStart w:id="98"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98"/>
    <w:bookmarkStart w:id="99" w:name="assessment-15"/>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99"/>
    <w:bookmarkEnd w:id="100"/>
    <w:bookmarkStart w:id="104" w:name="sec:meta-proprov-st"/>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meta-proprov-st</w:t>
      </w:r>
    </w:p>
    <w:bookmarkStart w:id="101" w:name="threshold-requirements-16"/>
    <w:p>
      <w:pPr>
        <w:pStyle w:val="berschrift5"/>
      </w:pPr>
      <w:r>
        <w:t xml:space="preserve">Threshold requirements:</w:t>
      </w:r>
    </w:p>
    <w:p>
      <w:pPr>
        <w:pStyle w:val="FirstParagraph"/>
      </w:pPr>
      <w:r>
        <w:t xml:space="preserve">The provider attaches to each delivered dataset (delivery unit) information which allows the provider to reconstruct the exact processing environment (software versions, calibration files, parameter settings) in which this particular output was produced.</w:t>
      </w:r>
    </w:p>
    <w:bookmarkEnd w:id="101"/>
    <w:bookmarkStart w:id="102" w:name="goal-requirements-16"/>
    <w:p>
      <w:pPr>
        <w:pStyle w:val="berschrift5"/>
      </w:pPr>
      <w:r>
        <w:t xml:space="preserve">Goal requirements:</w:t>
      </w:r>
    </w:p>
    <w:p>
      <w:pPr>
        <w:pStyle w:val="FirstParagraph"/>
      </w:pPr>
      <w:r>
        <w:t xml:space="preserve">As threshold, but the provider is required to reproduce the exact same output.</w:t>
      </w:r>
    </w:p>
    <w:bookmarkEnd w:id="102"/>
    <w:bookmarkStart w:id="103" w:name="assessment-16"/>
    <w:p>
      <w:pPr>
        <w:pStyle w:val="berschrift5"/>
      </w:pPr>
      <w:r>
        <w:t xml:space="preserve">Assessment:</w:t>
      </w:r>
    </w:p>
    <w:p>
      <w:pPr>
        <w:pStyle w:val="Compact"/>
        <w:numPr>
          <w:ilvl w:val="0"/>
          <w:numId w:val="1021"/>
        </w:numPr>
      </w:pPr>
      <w:r>
        <w:t xml:space="preserve">Threshold Self-Assessment:</w:t>
      </w:r>
    </w:p>
    <w:p>
      <w:pPr>
        <w:pStyle w:val="Compact"/>
        <w:numPr>
          <w:ilvl w:val="0"/>
          <w:numId w:val="1021"/>
        </w:numPr>
      </w:pPr>
      <w:r>
        <w:t xml:space="preserve">Goal Self-Assessment:</w:t>
      </w:r>
    </w:p>
    <w:p>
      <w:pPr>
        <w:pStyle w:val="Compact"/>
        <w:numPr>
          <w:ilvl w:val="0"/>
          <w:numId w:val="1021"/>
        </w:numPr>
      </w:pPr>
      <w:r>
        <w:t xml:space="preserve">Self-Assessment Explanation/ Justification:</w:t>
      </w:r>
    </w:p>
    <w:p>
      <w:pPr>
        <w:pStyle w:val="Compact"/>
        <w:numPr>
          <w:ilvl w:val="0"/>
          <w:numId w:val="1021"/>
        </w:numPr>
      </w:pPr>
      <w:r>
        <w:t xml:space="preserve">Recommended Requirement Modification:</w:t>
      </w:r>
    </w:p>
    <w:p>
      <w:r>
        <w:pict>
          <v:rect style="width:0;height:1.5pt" o:hralign="center" o:hrstd="t" o:hr="t"/>
        </w:pict>
      </w:r>
    </w:p>
    <w:bookmarkEnd w:id="103"/>
    <w:bookmarkEnd w:id="104"/>
    <w:bookmarkStart w:id="108" w:name="sec:meta-daccess-st"/>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meta-daccess-st</w:t>
      </w:r>
    </w:p>
    <w:bookmarkStart w:id="105" w:name="threshold-requirements-17"/>
    <w:p>
      <w:pPr>
        <w:pStyle w:val="berschrift5"/>
      </w:pPr>
      <w:r>
        <w:t xml:space="preserve">Threshold requirements:</w:t>
      </w:r>
    </w:p>
    <w:p>
      <w:pPr>
        <w:pStyle w:val="FirstParagraph"/>
      </w:pPr>
      <w:r>
        <w:t xml:space="preserve">The location from where the data can be retrieved is identified, expressed as a URL or DOI.</w:t>
      </w:r>
    </w:p>
    <w:p>
      <w:pPr>
        <w:pStyle w:val="Textkrper"/>
      </w:pPr>
      <w:r>
        <w:t xml:space="preserve">Note:</w:t>
      </w:r>
    </w:p>
    <w:p>
      <w:pPr>
        <w:pStyle w:val="Compact"/>
        <w:numPr>
          <w:ilvl w:val="0"/>
          <w:numId w:val="1022"/>
        </w:numPr>
      </w:pPr>
      <w:r>
        <w:t xml:space="preserve">Manual and offline interaction action (e.g., login) may be required.</w:t>
      </w:r>
    </w:p>
    <w:bookmarkEnd w:id="105"/>
    <w:bookmarkStart w:id="106" w:name="goal-requirements-17"/>
    <w:p>
      <w:pPr>
        <w:pStyle w:val="berschrift5"/>
      </w:pPr>
      <w:r>
        <w:t xml:space="preserve">Goal requirements:</w:t>
      </w:r>
    </w:p>
    <w:p>
      <w:pPr>
        <w:pStyle w:val="FirstParagraph"/>
      </w:pPr>
      <w:r>
        <w:t xml:space="preserve">An online location is identified from where the data can be consistently and reliably retrieved by a computer algorithm without any manual intervention being required.</w:t>
      </w:r>
    </w:p>
    <w:bookmarkEnd w:id="106"/>
    <w:bookmarkStart w:id="107" w:name="assessment-17"/>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7"/>
    <w:bookmarkEnd w:id="108"/>
    <w:bookmarkStart w:id="112"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09"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09"/>
    <w:bookmarkStart w:id="110" w:name="goal-requirements-18"/>
    <w:p>
      <w:pPr>
        <w:pStyle w:val="berschrift5"/>
      </w:pPr>
      <w:r>
        <w:t xml:space="preserve">Goal requirements:</w:t>
      </w:r>
    </w:p>
    <w:p>
      <w:pPr>
        <w:pStyle w:val="FirstParagraph"/>
      </w:pPr>
      <w:r>
        <w:t xml:space="preserve">As threshold.</w:t>
      </w:r>
      <w:r>
        <w:t xml:space="preserve"> </w:t>
      </w:r>
    </w:p>
    <w:bookmarkEnd w:id="110"/>
    <w:bookmarkStart w:id="111" w:name="assessment-18"/>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bookmarkEnd w:id="111"/>
    <w:bookmarkEnd w:id="112"/>
    <w:bookmarkEnd w:id="113"/>
    <w:bookmarkStart w:id="146"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17" w:name="sec:pxl-pinodat-st"/>
    <w:p>
      <w:pPr>
        <w:pStyle w:val="berschrift4"/>
      </w:pPr>
      <w:r>
        <w:rPr>
          <w:rStyle w:val="VerbatimChar"/>
        </w:rPr>
        <w:t xml:space="preserve">2.1.</w:t>
      </w:r>
      <w:r>
        <w:t xml:space="preserve"> </w:t>
      </w:r>
      <w:r>
        <w:t xml:space="preserve">No Data</w:t>
      </w:r>
    </w:p>
    <w:p>
      <w:pPr>
        <w:pStyle w:val="FirstParagraph"/>
      </w:pPr>
      <w:r>
        <w:t xml:space="preserve">Identifier:</w:t>
      </w:r>
      <w:r>
        <w:t xml:space="preserve"> </w:t>
      </w:r>
      <w:r>
        <w:rPr>
          <w:rStyle w:val="VerbatimChar"/>
        </w:rPr>
        <w:t xml:space="preserve">pxl-pinodat-st</w:t>
      </w:r>
    </w:p>
    <w:bookmarkStart w:id="114" w:name="threshold-requirements-19"/>
    <w:p>
      <w:pPr>
        <w:pStyle w:val="berschrift5"/>
      </w:pPr>
      <w:r>
        <w:t xml:space="preserve">Threshold requirements:</w:t>
      </w:r>
    </w:p>
    <w:p>
      <w:pPr>
        <w:pStyle w:val="FirstParagraph"/>
      </w:pPr>
      <w:r>
        <w:t xml:space="preserve">Pixels that do not correspond to an observation (No Data / Invalid / Falsified / Valid / Modelled) are flagged.</w:t>
      </w:r>
    </w:p>
    <w:bookmarkEnd w:id="114"/>
    <w:bookmarkStart w:id="115" w:name="goal-requirements-19"/>
    <w:p>
      <w:pPr>
        <w:pStyle w:val="berschrift5"/>
      </w:pPr>
      <w:r>
        <w:t xml:space="preserve">Goal requirements:</w:t>
      </w:r>
    </w:p>
    <w:p>
      <w:pPr>
        <w:pStyle w:val="FirstParagraph"/>
      </w:pPr>
      <w:r>
        <w:t xml:space="preserve">As threshold.</w:t>
      </w:r>
      <w:r>
        <w:t xml:space="preserve"> </w:t>
      </w:r>
    </w:p>
    <w:bookmarkEnd w:id="115"/>
    <w:bookmarkStart w:id="116" w:name="assessment-19"/>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16"/>
    <w:bookmarkEnd w:id="117"/>
    <w:bookmarkStart w:id="121" w:name="sec:pxl-pincot-st"/>
    <w:p>
      <w:pPr>
        <w:pStyle w:val="berschrift4"/>
      </w:pPr>
      <w:r>
        <w:rPr>
          <w:rStyle w:val="VerbatimChar"/>
        </w:rPr>
        <w:t xml:space="preserve">2.2.</w:t>
      </w:r>
      <w:r>
        <w:t xml:space="preserve"> </w:t>
      </w:r>
      <w:r>
        <w:t xml:space="preserve">Incomplete Testing</w:t>
      </w:r>
    </w:p>
    <w:p>
      <w:pPr>
        <w:pStyle w:val="FirstParagraph"/>
      </w:pPr>
      <w:r>
        <w:t xml:space="preserve">Identifier:</w:t>
      </w:r>
      <w:r>
        <w:t xml:space="preserve"> </w:t>
      </w:r>
      <w:r>
        <w:rPr>
          <w:rStyle w:val="VerbatimChar"/>
        </w:rPr>
        <w:t xml:space="preserve">pxl-pincot-st</w:t>
      </w:r>
    </w:p>
    <w:bookmarkStart w:id="118" w:name="threshold-requirements-20"/>
    <w:p>
      <w:pPr>
        <w:pStyle w:val="berschrift5"/>
      </w:pPr>
      <w:r>
        <w:t xml:space="preserve">Threshold requirements:</w:t>
      </w:r>
    </w:p>
    <w:p>
      <w:pPr>
        <w:pStyle w:val="FirstParagraph"/>
      </w:pPr>
      <w:r>
        <w:t xml:space="preserve">Identifies pixels for which the per-pixel tests (</w:t>
      </w:r>
      <w:hyperlink w:anchor="sec:pxl-pisatur-ar">
        <w:r>
          <w:rPr>
            <w:rStyle w:val="Hyperlink"/>
          </w:rPr>
          <w:t xml:space="preserve">Per-Pixel Metadata: Saturation</w:t>
        </w:r>
      </w:hyperlink>
      <w:r>
        <w:t xml:space="preserve">,</w:t>
      </w:r>
      <w:r>
        <w:t xml:space="preserve"> </w:t>
      </w:r>
      <w:hyperlink w:anchor="sec:pxl-picloud-st">
        <w:r>
          <w:rPr>
            <w:rStyle w:val="Hyperlink"/>
          </w:rPr>
          <w:t xml:space="preserve">Per-Pixel Metadata: Cloud</w:t>
        </w:r>
      </w:hyperlink>
      <w:r>
        <w:t xml:space="preserve">,</w:t>
      </w:r>
      <w:r>
        <w:t xml:space="preserve"> </w:t>
      </w:r>
      <w:hyperlink w:anchor="sec:pxl-picloudsh-st">
        <w:r>
          <w:rPr>
            <w:rStyle w:val="Hyperlink"/>
          </w:rPr>
          <w:t xml:space="preserve">Per-Pixel Metadata: Cloud Shadow</w:t>
        </w:r>
      </w:hyperlink>
      <w:r>
        <w:t xml:space="preserve">,</w:t>
      </w:r>
      <w:r>
        <w:t xml:space="preserve"> </w:t>
      </w:r>
      <w:hyperlink w:anchor="sec:pxl-surf-st">
        <w:r>
          <w:rPr>
            <w:rStyle w:val="Hyperlink"/>
          </w:rPr>
          <w:t xml:space="preserve">Per-Pixel Metadata: Surface</w:t>
        </w:r>
      </w:hyperlink>
      <w:r>
        <w:t xml:space="preserve">,</w:t>
      </w:r>
      <w:r>
        <w:t xml:space="preserve"> </w:t>
      </w:r>
      <w:hyperlink w:anchor="sec:pxl-terrain-st">
        <w:r>
          <w:rPr>
            <w:rStyle w:val="Hyperlink"/>
          </w:rPr>
          <w:t xml:space="preserve">Per-Pixel Metadata: Terrain Occlusion</w:t>
        </w:r>
      </w:hyperlink>
      <w:r>
        <w:t xml:space="preserve">) have not all been successfully completed.</w:t>
      </w:r>
    </w:p>
    <w:p>
      <w:pPr>
        <w:pStyle w:val="Textkrper"/>
      </w:pPr>
      <w:r>
        <w:t xml:space="preserve">Note:</w:t>
      </w:r>
    </w:p>
    <w:p>
      <w:pPr>
        <w:pStyle w:val="Compact"/>
        <w:numPr>
          <w:ilvl w:val="0"/>
          <w:numId w:val="1026"/>
        </w:numPr>
      </w:pPr>
      <w:r>
        <w:t xml:space="preserve">This may be the result of missing ancillary data for a subset of the pixels.</w:t>
      </w:r>
    </w:p>
    <w:bookmarkEnd w:id="118"/>
    <w:bookmarkStart w:id="119" w:name="goal-requirements-20"/>
    <w:p>
      <w:pPr>
        <w:pStyle w:val="berschrift5"/>
      </w:pPr>
      <w:r>
        <w:t xml:space="preserve">Goal requirements:</w:t>
      </w:r>
    </w:p>
    <w:p>
      <w:pPr>
        <w:pStyle w:val="FirstParagraph"/>
      </w:pPr>
      <w:r>
        <w:t xml:space="preserve">Identifies which tests (</w:t>
      </w:r>
      <w:hyperlink w:anchor="sec:pxl-pisatur-ar">
        <w:r>
          <w:rPr>
            <w:rStyle w:val="Hyperlink"/>
          </w:rPr>
          <w:t xml:space="preserve">Per-Pixel Metadata: Saturation</w:t>
        </w:r>
      </w:hyperlink>
      <w:r>
        <w:t xml:space="preserve">,</w:t>
      </w:r>
      <w:r>
        <w:t xml:space="preserve"> </w:t>
      </w:r>
      <w:hyperlink w:anchor="sec:pxl-picloud-st">
        <w:r>
          <w:rPr>
            <w:rStyle w:val="Hyperlink"/>
          </w:rPr>
          <w:t xml:space="preserve">Per-Pixel Metadata: Cloud</w:t>
        </w:r>
      </w:hyperlink>
      <w:r>
        <w:t xml:space="preserve">,</w:t>
      </w:r>
      <w:r>
        <w:t xml:space="preserve"> </w:t>
      </w:r>
      <w:hyperlink w:anchor="sec:pxl-picloudsh-st">
        <w:r>
          <w:rPr>
            <w:rStyle w:val="Hyperlink"/>
          </w:rPr>
          <w:t xml:space="preserve">Per-Pixel Metadata: Cloud Shadow</w:t>
        </w:r>
      </w:hyperlink>
      <w:r>
        <w:t xml:space="preserve">,</w:t>
      </w:r>
      <w:r>
        <w:t xml:space="preserve"> </w:t>
      </w:r>
      <w:hyperlink w:anchor="sec:pxl-surf-st">
        <w:r>
          <w:rPr>
            <w:rStyle w:val="Hyperlink"/>
          </w:rPr>
          <w:t xml:space="preserve">Per-Pixel Metadata: Surface</w:t>
        </w:r>
      </w:hyperlink>
      <w:r>
        <w:t xml:space="preserve">,</w:t>
      </w:r>
      <w:r>
        <w:t xml:space="preserve"> </w:t>
      </w:r>
      <w:hyperlink w:anchor="sec:pxl-terrain-st">
        <w:r>
          <w:rPr>
            <w:rStyle w:val="Hyperlink"/>
          </w:rPr>
          <w:t xml:space="preserve">Per-Pixel Metadata: Terrain Occlusion</w:t>
        </w:r>
      </w:hyperlink>
      <w:r>
        <w:t xml:space="preserve">) have and have not been successfully completed for each pixel.</w:t>
      </w:r>
    </w:p>
    <w:bookmarkEnd w:id="119"/>
    <w:bookmarkStart w:id="120" w:name="assessment-20"/>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20"/>
    <w:bookmarkEnd w:id="121"/>
    <w:bookmarkStart w:id="125" w:name="sec:pxl-pisatur-ar"/>
    <w:p>
      <w:pPr>
        <w:pStyle w:val="berschrift4"/>
      </w:pPr>
      <w:r>
        <w:rPr>
          <w:rStyle w:val="VerbatimChar"/>
        </w:rPr>
        <w:t xml:space="preserve">2.3.</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2" w:name="threshold-requirements-21"/>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2"/>
    <w:bookmarkStart w:id="123" w:name="goal-requirements-21"/>
    <w:p>
      <w:pPr>
        <w:pStyle w:val="berschrift5"/>
      </w:pPr>
      <w:r>
        <w:t xml:space="preserve">Goal requirements:</w:t>
      </w:r>
    </w:p>
    <w:p>
      <w:pPr>
        <w:pStyle w:val="FirstParagraph"/>
      </w:pPr>
      <w:r>
        <w:t xml:space="preserve">As threshold, with specification of which pixels are radiometrically saturated for each spectral band.</w:t>
      </w:r>
    </w:p>
    <w:bookmarkEnd w:id="123"/>
    <w:bookmarkStart w:id="124" w:name="assessment-21"/>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24"/>
    <w:bookmarkEnd w:id="125"/>
    <w:bookmarkStart w:id="129" w:name="sec:pxl-picloud-st"/>
    <w:p>
      <w:pPr>
        <w:pStyle w:val="berschrift4"/>
      </w:pPr>
      <w:r>
        <w:rPr>
          <w:rStyle w:val="VerbatimChar"/>
        </w:rPr>
        <w:t xml:space="preserve">2.4.</w:t>
      </w:r>
      <w:r>
        <w:t xml:space="preserve"> </w:t>
      </w:r>
      <w:r>
        <w:t xml:space="preserve">Cloud</w:t>
      </w:r>
    </w:p>
    <w:p>
      <w:pPr>
        <w:pStyle w:val="FirstParagraph"/>
      </w:pPr>
      <w:r>
        <w:t xml:space="preserve">Identifier:</w:t>
      </w:r>
      <w:r>
        <w:t xml:space="preserve"> </w:t>
      </w:r>
      <w:r>
        <w:rPr>
          <w:rStyle w:val="VerbatimChar"/>
        </w:rPr>
        <w:t xml:space="preserve">pxl-picloud-st</w:t>
      </w:r>
    </w:p>
    <w:bookmarkStart w:id="126" w:name="threshold-requirements-22"/>
    <w:p>
      <w:pPr>
        <w:pStyle w:val="berschrift5"/>
      </w:pPr>
      <w:r>
        <w:t xml:space="preserve">Threshold requirements:</w:t>
      </w:r>
    </w:p>
    <w:p>
      <w:pPr>
        <w:pStyle w:val="FirstParagraph"/>
      </w:pPr>
      <w:r>
        <w:t xml:space="preserve">Specification of whether a pixel is cloud-affected.</w:t>
      </w:r>
    </w:p>
    <w:bookmarkEnd w:id="126"/>
    <w:bookmarkStart w:id="127" w:name="goal-requirements-22"/>
    <w:p>
      <w:pPr>
        <w:pStyle w:val="berschrift5"/>
      </w:pPr>
      <w:r>
        <w:t xml:space="preserve">Goal requirements:</w:t>
      </w:r>
    </w:p>
    <w:p>
      <w:pPr>
        <w:pStyle w:val="FirstParagraph"/>
      </w:pPr>
      <w:r>
        <w:t xml:space="preserve">As threshold, but information on cloud type or confidence is included, documented by URL or DOI.</w:t>
      </w:r>
    </w:p>
    <w:bookmarkEnd w:id="127"/>
    <w:bookmarkStart w:id="128" w:name="assessment-22"/>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28"/>
    <w:bookmarkEnd w:id="129"/>
    <w:bookmarkStart w:id="133" w:name="sec:pxl-picloudsh-st"/>
    <w:p>
      <w:pPr>
        <w:pStyle w:val="berschrift4"/>
      </w:pPr>
      <w:r>
        <w:rPr>
          <w:rStyle w:val="VerbatimChar"/>
        </w:rPr>
        <w:t xml:space="preserve">2.5.</w:t>
      </w:r>
      <w:r>
        <w:t xml:space="preserve"> </w:t>
      </w:r>
      <w:r>
        <w:t xml:space="preserve">Cloud Shadow</w:t>
      </w:r>
    </w:p>
    <w:p>
      <w:pPr>
        <w:pStyle w:val="FirstParagraph"/>
      </w:pPr>
      <w:r>
        <w:t xml:space="preserve">Identifier:</w:t>
      </w:r>
      <w:r>
        <w:t xml:space="preserve"> </w:t>
      </w:r>
      <w:r>
        <w:rPr>
          <w:rStyle w:val="VerbatimChar"/>
        </w:rPr>
        <w:t xml:space="preserve">pxl-picloudsh-st</w:t>
      </w:r>
    </w:p>
    <w:bookmarkStart w:id="130" w:name="threshold-requirements-23"/>
    <w:p>
      <w:pPr>
        <w:pStyle w:val="berschrift5"/>
      </w:pPr>
      <w:r>
        <w:t xml:space="preserve">Threshold requirements:</w:t>
      </w:r>
    </w:p>
    <w:p>
      <w:pPr>
        <w:pStyle w:val="FirstParagraph"/>
      </w:pPr>
      <w:r>
        <w:t xml:space="preserve">Not required.</w:t>
      </w:r>
      <w:r>
        <w:t xml:space="preserve"> </w:t>
      </w:r>
    </w:p>
    <w:bookmarkEnd w:id="130"/>
    <w:bookmarkStart w:id="131" w:name="goal-requirements-23"/>
    <w:p>
      <w:pPr>
        <w:pStyle w:val="berschrift5"/>
      </w:pPr>
      <w:r>
        <w:t xml:space="preserve">Goal requirements:</w:t>
      </w:r>
    </w:p>
    <w:p>
      <w:pPr>
        <w:pStyle w:val="FirstParagraph"/>
      </w:pPr>
      <w:r>
        <w:t xml:space="preserve">Specification of whether a pixel is cloud shadow-affected. Information on cloud shadow detection is documented by URL or DOI.</w:t>
      </w:r>
    </w:p>
    <w:bookmarkEnd w:id="131"/>
    <w:bookmarkStart w:id="132" w:name="assessment-23"/>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32"/>
    <w:bookmarkEnd w:id="133"/>
    <w:bookmarkStart w:id="137" w:name="sec:pxl-surf-st"/>
    <w:p>
      <w:pPr>
        <w:pStyle w:val="berschrift4"/>
      </w:pPr>
      <w:r>
        <w:rPr>
          <w:rStyle w:val="VerbatimChar"/>
        </w:rPr>
        <w:t xml:space="preserve">2.6.</w:t>
      </w:r>
      <w:r>
        <w:t xml:space="preserve"> </w:t>
      </w:r>
      <w:r>
        <w:t xml:space="preserve">Surface</w:t>
      </w:r>
    </w:p>
    <w:p>
      <w:pPr>
        <w:pStyle w:val="FirstParagraph"/>
      </w:pPr>
      <w:r>
        <w:t xml:space="preserve">Identifier:</w:t>
      </w:r>
      <w:r>
        <w:t xml:space="preserve"> </w:t>
      </w:r>
      <w:r>
        <w:rPr>
          <w:rStyle w:val="VerbatimChar"/>
        </w:rPr>
        <w:t xml:space="preserve">pxl-surf-st</w:t>
      </w:r>
    </w:p>
    <w:bookmarkStart w:id="134" w:name="threshold-requirements-24"/>
    <w:p>
      <w:pPr>
        <w:pStyle w:val="berschrift5"/>
      </w:pPr>
      <w:r>
        <w:t xml:space="preserve">Threshold requirements:</w:t>
      </w:r>
    </w:p>
    <w:p>
      <w:pPr>
        <w:pStyle w:val="FirstParagraph"/>
      </w:pPr>
      <w:r>
        <w:t xml:space="preserve">Specification of whether a pixel is assessed as being land or water, including the information source and other relevant surface characteristic information.</w:t>
      </w:r>
    </w:p>
    <w:p>
      <w:pPr>
        <w:pStyle w:val="Textkrper"/>
      </w:pPr>
      <w:r>
        <w:t xml:space="preserve">Note:</w:t>
      </w:r>
    </w:p>
    <w:p>
      <w:pPr>
        <w:pStyle w:val="Compact"/>
        <w:numPr>
          <w:ilvl w:val="0"/>
          <w:numId w:val="1031"/>
        </w:numPr>
      </w:pPr>
      <w:r>
        <w:t xml:space="preserve">External data sources are listed in</w:t>
      </w:r>
      <w:r>
        <w:t xml:space="preserve"> </w:t>
      </w:r>
      <w:hyperlink w:anchor="sec:meta-auxdat-st">
        <w:r>
          <w:rPr>
            <w:rStyle w:val="Hyperlink"/>
          </w:rPr>
          <w:t xml:space="preserve">General Metadata: Auxiliary Data</w:t>
        </w:r>
      </w:hyperlink>
      <w:r>
        <w:t xml:space="preserve">.</w:t>
      </w:r>
    </w:p>
    <w:bookmarkEnd w:id="134"/>
    <w:bookmarkStart w:id="135" w:name="goal-requirements-24"/>
    <w:p>
      <w:pPr>
        <w:pStyle w:val="berschrift5"/>
      </w:pPr>
      <w:r>
        <w:t xml:space="preserve">Goal requirements:</w:t>
      </w:r>
    </w:p>
    <w:p>
      <w:pPr>
        <w:pStyle w:val="FirstParagraph"/>
      </w:pPr>
      <w:r>
        <w:t xml:space="preserve">As threshold, but pixels are identified as being snow or ice.</w:t>
      </w:r>
    </w:p>
    <w:bookmarkEnd w:id="135"/>
    <w:bookmarkStart w:id="136" w:name="assessment-24"/>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36"/>
    <w:bookmarkEnd w:id="137"/>
    <w:bookmarkStart w:id="141" w:name="sec:pxl-vigeso-ar"/>
    <w:p>
      <w:pPr>
        <w:pStyle w:val="berschrift4"/>
      </w:pPr>
      <w:r>
        <w:rPr>
          <w:rStyle w:val="VerbatimChar"/>
        </w:rPr>
        <w:t xml:space="preserve">2.7.</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38" w:name="threshold-requirements-25"/>
    <w:p>
      <w:pPr>
        <w:pStyle w:val="berschrift5"/>
      </w:pPr>
      <w:r>
        <w:t xml:space="preserve">Threshold requirements:</w:t>
      </w:r>
    </w:p>
    <w:p>
      <w:pPr>
        <w:pStyle w:val="FirstParagraph"/>
      </w:pPr>
      <w:r>
        <w:t xml:space="preserve">Specification of the solar and sensor viewing azimuth and zenith angles.</w:t>
      </w:r>
    </w:p>
    <w:bookmarkEnd w:id="138"/>
    <w:bookmarkStart w:id="139" w:name="goal-requirements-25"/>
    <w:p>
      <w:pPr>
        <w:pStyle w:val="berschrift5"/>
      </w:pPr>
      <w:r>
        <w:t xml:space="preserve">Goal requirements:</w:t>
      </w:r>
    </w:p>
    <w:p>
      <w:pPr>
        <w:pStyle w:val="FirstParagraph"/>
      </w:pPr>
      <w:r>
        <w:t xml:space="preserve">As threshold.</w:t>
      </w:r>
      <w:r>
        <w:t xml:space="preserve"> </w:t>
      </w:r>
    </w:p>
    <w:bookmarkEnd w:id="139"/>
    <w:bookmarkStart w:id="140" w:name="assessment-25"/>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40"/>
    <w:bookmarkEnd w:id="141"/>
    <w:bookmarkStart w:id="145" w:name="sec:pxl-terrain-st"/>
    <w:p>
      <w:pPr>
        <w:pStyle w:val="berschrift4"/>
      </w:pPr>
      <w:r>
        <w:rPr>
          <w:rStyle w:val="VerbatimChar"/>
        </w:rPr>
        <w:t xml:space="preserve">2.8.</w:t>
      </w:r>
      <w:r>
        <w:t xml:space="preserve"> </w:t>
      </w:r>
      <w:r>
        <w:t xml:space="preserve">Terrain Occlusion</w:t>
      </w:r>
    </w:p>
    <w:p>
      <w:pPr>
        <w:pStyle w:val="FirstParagraph"/>
      </w:pPr>
      <w:r>
        <w:t xml:space="preserve">Identifier:</w:t>
      </w:r>
      <w:r>
        <w:t xml:space="preserve"> </w:t>
      </w:r>
      <w:r>
        <w:rPr>
          <w:rStyle w:val="VerbatimChar"/>
        </w:rPr>
        <w:t xml:space="preserve">pxl-terrain-st</w:t>
      </w:r>
    </w:p>
    <w:bookmarkStart w:id="142" w:name="threshold-requirements-26"/>
    <w:p>
      <w:pPr>
        <w:pStyle w:val="berschrift5"/>
      </w:pPr>
      <w:r>
        <w:t xml:space="preserve">Threshold requirements:</w:t>
      </w:r>
    </w:p>
    <w:p>
      <w:pPr>
        <w:pStyle w:val="FirstParagraph"/>
      </w:pPr>
      <w:r>
        <w:t xml:space="preserve">Not required.</w:t>
      </w:r>
      <w:r>
        <w:t xml:space="preserve"> </w:t>
      </w:r>
    </w:p>
    <w:bookmarkEnd w:id="142"/>
    <w:bookmarkStart w:id="143" w:name="goal-requirements-26"/>
    <w:p>
      <w:pPr>
        <w:pStyle w:val="berschrift5"/>
      </w:pPr>
      <w:r>
        <w:t xml:space="preserve">Goal requirements:</w:t>
      </w:r>
    </w:p>
    <w:p>
      <w:pPr>
        <w:pStyle w:val="FirstParagraph"/>
      </w:pPr>
      <w:r>
        <w:t xml:space="preserve">Specification of whether pixels are not visible to the sensor due to terrain occlusion during off-nadir viewing.</w:t>
      </w:r>
    </w:p>
    <w:bookmarkEnd w:id="143"/>
    <w:bookmarkStart w:id="144" w:name="assessment-26"/>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bookmarkEnd w:id="144"/>
    <w:bookmarkEnd w:id="145"/>
    <w:bookmarkEnd w:id="146"/>
    <w:bookmarkStart w:id="159"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0" w:name="sec:rac-measur-st"/>
    <w:p>
      <w:pPr>
        <w:pStyle w:val="berschrift4"/>
      </w:pPr>
      <w:r>
        <w:rPr>
          <w:rStyle w:val="VerbatimChar"/>
        </w:rPr>
        <w:t xml:space="preserve">3.1.</w:t>
      </w:r>
      <w:r>
        <w:t xml:space="preserve"> </w:t>
      </w:r>
      <w:r>
        <w:t xml:space="preserve">Measurand</w:t>
      </w:r>
    </w:p>
    <w:p>
      <w:pPr>
        <w:pStyle w:val="FirstParagraph"/>
      </w:pPr>
      <w:r>
        <w:t xml:space="preserve">Identifier:</w:t>
      </w:r>
      <w:r>
        <w:t xml:space="preserve"> </w:t>
      </w:r>
      <w:r>
        <w:rPr>
          <w:rStyle w:val="VerbatimChar"/>
        </w:rPr>
        <w:t xml:space="preserve">rac-measur-st</w:t>
      </w:r>
    </w:p>
    <w:bookmarkStart w:id="147" w:name="threshold-requirements-27"/>
    <w:p>
      <w:pPr>
        <w:pStyle w:val="berschrift5"/>
      </w:pPr>
      <w:r>
        <w:t xml:space="preserve">Threshold requirements:</w:t>
      </w:r>
    </w:p>
    <w:p>
      <w:pPr>
        <w:pStyle w:val="FirstParagraph"/>
      </w:pPr>
      <w:r>
        <w:t xml:space="preserve">Pixel values are a measurement of the Surface Temperature expressed in kelvin.</w:t>
      </w:r>
    </w:p>
    <w:p>
      <w:pPr>
        <w:pStyle w:val="Textkrper"/>
      </w:pPr>
      <w:r>
        <w:t xml:space="preserve">Note:</w:t>
      </w:r>
    </w:p>
    <w:p>
      <w:pPr>
        <w:pStyle w:val="Compact"/>
        <w:numPr>
          <w:ilvl w:val="0"/>
          <w:numId w:val="1035"/>
        </w:numPr>
      </w:pPr>
      <w:r>
        <w:t xml:space="preserve">See</w:t>
      </w:r>
      <w:r>
        <w:t xml:space="preserve"> </w:t>
      </w:r>
      <w:hyperlink w:anchor="sec:meta-specband-st">
        <w:r>
          <w:rPr>
            <w:rStyle w:val="Hyperlink"/>
          </w:rPr>
          <w:t xml:space="preserve">General Metadata: Spectral Bands</w:t>
        </w:r>
      </w:hyperlink>
    </w:p>
    <w:bookmarkEnd w:id="147"/>
    <w:bookmarkStart w:id="148" w:name="goal-requirements-27"/>
    <w:p>
      <w:pPr>
        <w:pStyle w:val="berschrift5"/>
      </w:pPr>
      <w:r>
        <w:t xml:space="preserve">Goal requirements:</w:t>
      </w:r>
    </w:p>
    <w:p>
      <w:pPr>
        <w:pStyle w:val="FirstParagraph"/>
      </w:pPr>
      <w:r>
        <w:t xml:space="preserve">Surface temperature measurements are SI traceable (see also</w:t>
      </w:r>
      <w:r>
        <w:t xml:space="preserve"> </w:t>
      </w:r>
      <w:hyperlink w:anchor="sec:meta-trace-st">
        <w:r>
          <w:rPr>
            <w:rStyle w:val="Hyperlink"/>
          </w:rPr>
          <w:t xml:space="preserve">General Metadata: Metrological Traceability of the Measurand to SI</w:t>
        </w:r>
      </w:hyperlink>
      <w:r>
        <w:t xml:space="preserve">).</w:t>
      </w:r>
    </w:p>
    <w:bookmarkEnd w:id="148"/>
    <w:bookmarkStart w:id="149" w:name="assessment-27"/>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49"/>
    <w:bookmarkEnd w:id="150"/>
    <w:bookmarkStart w:id="154" w:name="sec:rac-catmos"/>
    <w:p>
      <w:pPr>
        <w:pStyle w:val="berschrift4"/>
      </w:pPr>
      <w:r>
        <w:rPr>
          <w:rStyle w:val="VerbatimChar"/>
        </w:rPr>
        <w:t xml:space="preserve">3.2.</w:t>
      </w:r>
      <w:r>
        <w:t xml:space="preserve"> </w:t>
      </w:r>
      <w:r>
        <w:t xml:space="preserve">Corrections for Atmosphere</w:t>
      </w:r>
    </w:p>
    <w:p>
      <w:pPr>
        <w:pStyle w:val="FirstParagraph"/>
      </w:pPr>
      <w:r>
        <w:t xml:space="preserve">Identifier:</w:t>
      </w:r>
      <w:r>
        <w:t xml:space="preserve"> </w:t>
      </w:r>
      <w:r>
        <w:rPr>
          <w:rStyle w:val="VerbatimChar"/>
        </w:rPr>
        <w:t xml:space="preserve">rac-catmos</w:t>
      </w:r>
    </w:p>
    <w:bookmarkStart w:id="151" w:name="threshold-requirements-28"/>
    <w:p>
      <w:pPr>
        <w:pStyle w:val="berschrift5"/>
      </w:pPr>
      <w:r>
        <w:t xml:space="preserve">Threshold requirements:</w:t>
      </w:r>
    </w:p>
    <w:p>
      <w:pPr>
        <w:pStyle w:val="FirstParagraph"/>
      </w:pPr>
      <w:r>
        <w:t xml:space="preserve">Retrieval methods for estimating surface temperature are provided.</w:t>
      </w:r>
    </w:p>
    <w:bookmarkEnd w:id="151"/>
    <w:bookmarkStart w:id="152" w:name="goal-requirements-28"/>
    <w:p>
      <w:pPr>
        <w:pStyle w:val="berschrift5"/>
      </w:pPr>
      <w:r>
        <w:t xml:space="preserve">Goal requirements:</w:t>
      </w:r>
    </w:p>
    <w:p>
      <w:pPr>
        <w:pStyle w:val="FirstParagraph"/>
      </w:pPr>
      <w:r>
        <w:t xml:space="preserve">As threshold.</w:t>
      </w:r>
      <w:r>
        <w:t xml:space="preserve"> </w:t>
      </w:r>
    </w:p>
    <w:bookmarkEnd w:id="152"/>
    <w:bookmarkStart w:id="153" w:name="assessment-28"/>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53"/>
    <w:bookmarkEnd w:id="154"/>
    <w:bookmarkStart w:id="158" w:name="sec:rac-muncer-st"/>
    <w:p>
      <w:pPr>
        <w:pStyle w:val="berschrift4"/>
      </w:pPr>
      <w:r>
        <w:rPr>
          <w:rStyle w:val="VerbatimChar"/>
        </w:rPr>
        <w:t xml:space="preserve">3.3.</w:t>
      </w:r>
      <w:r>
        <w:t xml:space="preserve"> </w:t>
      </w:r>
      <w:r>
        <w:t xml:space="preserve">Measurand Uncertainty</w:t>
      </w:r>
    </w:p>
    <w:p>
      <w:pPr>
        <w:pStyle w:val="FirstParagraph"/>
      </w:pPr>
      <w:r>
        <w:t xml:space="preserve">Identifier:</w:t>
      </w:r>
      <w:r>
        <w:t xml:space="preserve"> </w:t>
      </w:r>
      <w:r>
        <w:rPr>
          <w:rStyle w:val="VerbatimChar"/>
        </w:rPr>
        <w:t xml:space="preserve">rac-muncer-st</w:t>
      </w:r>
    </w:p>
    <w:bookmarkStart w:id="155" w:name="threshold-requirements-29"/>
    <w:p>
      <w:pPr>
        <w:pStyle w:val="berschrift5"/>
      </w:pPr>
      <w:r>
        <w:t xml:space="preserve">Threshold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Basic or Good criteria.</w:t>
      </w:r>
    </w:p>
    <w:bookmarkEnd w:id="155"/>
    <w:bookmarkStart w:id="156" w:name="goal-requirements-29"/>
    <w:p>
      <w:pPr>
        <w:pStyle w:val="berschrift5"/>
      </w:pPr>
      <w:r>
        <w:t xml:space="preserve">Goal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Excellent or Ideal criteria.</w:t>
      </w:r>
    </w:p>
    <w:p>
      <w:pPr>
        <w:pStyle w:val="Textkrper"/>
      </w:pPr>
      <w:r>
        <w:t xml:space="preserve">Note:</w:t>
      </w:r>
    </w:p>
    <w:p>
      <w:pPr>
        <w:pStyle w:val="Compact"/>
        <w:numPr>
          <w:ilvl w:val="0"/>
          <w:numId w:val="1038"/>
        </w:numPr>
      </w:pPr>
      <w:r>
        <w:t xml:space="preserve">https://science.nasa.gov/wp-content/uploads/2026/05/joint-optical-guidelines-jul2025-signed.pdf</w:t>
      </w:r>
    </w:p>
    <w:bookmarkEnd w:id="156"/>
    <w:bookmarkStart w:id="157" w:name="assessment-29"/>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bookmarkEnd w:id="157"/>
    <w:bookmarkEnd w:id="158"/>
    <w:bookmarkEnd w:id="159"/>
    <w:bookmarkStart w:id="164"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63" w:name="sec:gcor-geocorr-st"/>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gcor-geocorr-st</w:t>
      </w:r>
    </w:p>
    <w:bookmarkStart w:id="160" w:name="threshold-requirements-30"/>
    <w:p>
      <w:pPr>
        <w:pStyle w:val="berschrift5"/>
      </w:pPr>
      <w:r>
        <w:t xml:space="preserve">Threshold requirements:</w:t>
      </w:r>
    </w:p>
    <w:p>
      <w:pPr>
        <w:pStyle w:val="FirstParagraph"/>
      </w:pPr>
      <w:r>
        <w:t xml:space="preserve">Sub-pixel uncertainty is achieved in relative geolocation, that is, the pixels from the same instrument and platform are consistently located, and in thus comparable, through time.</w:t>
      </w:r>
    </w:p>
    <w:p>
      <w:pPr>
        <w:pStyle w:val="Textkrper"/>
      </w:pPr>
      <w:r>
        <w:t xml:space="preserve">Sub-pixel uncertainty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st">
        <w:r>
          <w:rPr>
            <w:rStyle w:val="Hyperlink"/>
          </w:rPr>
          <w:t xml:space="preserve">General Metadata: Geometric Uncertainty of the Data</w:t>
        </w:r>
      </w:hyperlink>
      <w:r>
        <w:t xml:space="preserve"> </w:t>
      </w:r>
      <w:r>
        <w:t xml:space="preserve">and</w:t>
      </w:r>
      <w:r>
        <w:t xml:space="preserve"> </w:t>
      </w:r>
      <w:hyperlink w:anchor="sec:meta-instru-st">
        <w:r>
          <w:rPr>
            <w:rStyle w:val="Hyperlink"/>
          </w:rPr>
          <w:t xml:space="preserve">General Metadata: Instrument</w:t>
        </w:r>
      </w:hyperlink>
      <w:r>
        <w:t xml:space="preserve">.</w:t>
      </w:r>
    </w:p>
    <w:p>
      <w:pPr>
        <w:pStyle w:val="Textkrper"/>
      </w:pPr>
      <w:r>
        <w:t xml:space="preserve">Notes:</w:t>
      </w:r>
    </w:p>
    <w:p>
      <w:pPr>
        <w:pStyle w:val="Compact"/>
        <w:numPr>
          <w:ilvl w:val="0"/>
          <w:numId w:val="1040"/>
        </w:numPr>
      </w:pPr>
      <w:r>
        <w:t xml:space="preserve">The threshold level will not necessarily enable interoperability between data from different sources as the geometric corrections for each of the sources may differ.</w:t>
      </w:r>
    </w:p>
    <w:p>
      <w:pPr>
        <w:pStyle w:val="Compact"/>
        <w:numPr>
          <w:ilvl w:val="0"/>
          <w:numId w:val="1040"/>
        </w:numPr>
      </w:pPr>
      <w:r>
        <w:t xml:space="preserve">It is useful to note if the sensor is used at its native resolution before geometric correction or that some resampling must be done.</w:t>
      </w:r>
    </w:p>
    <w:bookmarkEnd w:id="160"/>
    <w:bookmarkStart w:id="161" w:name="goal-requirements-30"/>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st">
        <w:r>
          <w:rPr>
            <w:rStyle w:val="Hyperlink"/>
          </w:rPr>
          <w:t xml:space="preserve">General Metadata: Geometric Uncertainty of the Data</w:t>
        </w:r>
      </w:hyperlink>
      <w:r>
        <w:t xml:space="preserve"> </w:t>
      </w:r>
      <w:r>
        <w:t xml:space="preserve">and</w:t>
      </w:r>
      <w:r>
        <w:t xml:space="preserve"> </w:t>
      </w:r>
      <w:hyperlink w:anchor="sec:meta-instru-st">
        <w:r>
          <w:rPr>
            <w:rStyle w:val="Hyperlink"/>
          </w:rPr>
          <w:t xml:space="preserve">General Metadata: Instrument</w:t>
        </w:r>
      </w:hyperlink>
      <w:r>
        <w:t xml:space="preserve">.</w:t>
      </w:r>
    </w:p>
    <w:p>
      <w:pPr>
        <w:pStyle w:val="Textkrper"/>
      </w:pPr>
      <w:r>
        <w:t xml:space="preserve">Note:</w:t>
      </w:r>
    </w:p>
    <w:p>
      <w:pPr>
        <w:pStyle w:val="Compact"/>
        <w:numPr>
          <w:ilvl w:val="0"/>
          <w:numId w:val="1041"/>
        </w:numPr>
      </w:pPr>
      <w:r>
        <w:t xml:space="preserve">This requirement is intended to enable interoperability between imagery from different platforms that meet this level of correction, and with non-image spatial data such as GIS layers and terrain models.</w:t>
      </w:r>
    </w:p>
    <w:bookmarkEnd w:id="161"/>
    <w:bookmarkStart w:id="162" w:name="assessment-30"/>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br w:type="page"/>
      </w:r>
    </w:p>
    <w:bookmarkEnd w:id="162"/>
    <w:bookmarkEnd w:id="163"/>
    <w:bookmarkEnd w:id="164"/>
    <w:bookmarkEnd w:id="165"/>
    <w:bookmarkStart w:id="170" w:name="summary-self-assessment-table"/>
    <w:p>
      <w:pPr>
        <w:pStyle w:val="berschrift2"/>
      </w:pPr>
      <w:r>
        <w:t xml:space="preserve">Summary Self-Assessment Table</w:t>
      </w:r>
    </w:p>
    <w:bookmarkStart w:id="166"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meta-trace-st</w:t>
            </w:r>
          </w:p>
        </w:tc>
        <w:tc>
          <w:tcPr/>
          <w:p>
            <w:pPr>
              <w:pStyle w:val="Compact"/>
            </w:pPr>
            <w:r>
              <w:t xml:space="preserve">Metrological Traceability of the Measurand to SI</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meta-memare-st</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meta-time-st</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meta-geocorm-st</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meta-geounc-st</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meta-instru-st</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meta-specband-st</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meta-sencal-st</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meta-measurunc</w:t>
            </w:r>
          </w:p>
        </w:tc>
        <w:tc>
          <w:tcPr/>
          <w:p>
            <w:pPr>
              <w:pStyle w:val="Compact"/>
            </w:pPr>
            <w:r>
              <w:t xml:space="preserve">Measurand Uncertainty</w:t>
            </w:r>
          </w:p>
        </w:tc>
        <w:tc>
          <w:tcPr/>
          <w:p>
            <w:pPr>
              <w:pStyle w:val="Compact"/>
            </w:pPr>
          </w:p>
        </w:tc>
        <w:tc>
          <w:tcPr/>
          <w:p>
            <w:pPr>
              <w:pStyle w:val="Compact"/>
            </w:pPr>
          </w:p>
        </w:tc>
      </w:tr>
      <w:tr>
        <w:tc>
          <w:tcPr/>
          <w:p>
            <w:pPr>
              <w:pStyle w:val="Compact"/>
            </w:pPr>
            <w:r>
              <w:rPr>
                <w:rStyle w:val="VerbatimChar"/>
              </w:rPr>
              <w:t xml:space="preserve">meta-measurenc</w:t>
            </w:r>
          </w:p>
        </w:tc>
        <w:tc>
          <w:tcPr/>
          <w:p>
            <w:pPr>
              <w:pStyle w:val="Compact"/>
            </w:pPr>
            <w:r>
              <w:t xml:space="preserve">Measurand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meta-malgos-st</w:t>
            </w:r>
          </w:p>
        </w:tc>
        <w:tc>
          <w:tcPr/>
          <w:p>
            <w:pPr>
              <w:pStyle w:val="Compact"/>
            </w:pPr>
            <w:r>
              <w:t xml:space="preserve">Algorithms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meta-auxdat-st</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meta-proprov-st</w:t>
            </w:r>
          </w:p>
        </w:tc>
        <w:tc>
          <w:tcPr/>
          <w:p>
            <w:pPr>
              <w:pStyle w:val="Compact"/>
            </w:pPr>
            <w:r>
              <w:t xml:space="preserve">Processing Chain Provenance</w:t>
            </w:r>
          </w:p>
        </w:tc>
        <w:tc>
          <w:tcPr/>
          <w:p>
            <w:pPr>
              <w:pStyle w:val="Compact"/>
            </w:pPr>
          </w:p>
        </w:tc>
        <w:tc>
          <w:tcPr/>
          <w:p>
            <w:pPr>
              <w:pStyle w:val="Compact"/>
            </w:pPr>
          </w:p>
        </w:tc>
      </w:tr>
      <w:tr>
        <w:tc>
          <w:tcPr/>
          <w:p>
            <w:pPr>
              <w:pStyle w:val="Compact"/>
            </w:pPr>
            <w:r>
              <w:rPr>
                <w:rStyle w:val="VerbatimChar"/>
              </w:rPr>
              <w:t xml:space="preserve">meta-daccess-st</w:t>
            </w:r>
          </w:p>
        </w:tc>
        <w:tc>
          <w:tcPr/>
          <w:p>
            <w:pPr>
              <w:pStyle w:val="Compact"/>
            </w:pPr>
            <w:r>
              <w:t xml:space="preserve">Data Access</w:t>
            </w:r>
          </w:p>
        </w:tc>
        <w:tc>
          <w:tcPr/>
          <w:p>
            <w:pPr>
              <w:pStyle w:val="Compact"/>
            </w:pPr>
          </w:p>
        </w:tc>
        <w:tc>
          <w:tcPr/>
          <w:p>
            <w:pPr>
              <w:pStyle w:val="Compact"/>
            </w:pP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166"/>
    <w:bookmarkStart w:id="167"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pxl-pinodat-st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pxl-pincot-st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pxl-picloud-st</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pxl-picloudsh-st</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pxl-surf-st</w:t>
            </w:r>
          </w:p>
        </w:tc>
        <w:tc>
          <w:tcPr/>
          <w:p>
            <w:pPr>
              <w:pStyle w:val="Compact"/>
            </w:pPr>
            <w:r>
              <w:t xml:space="preserve">Surface</w:t>
            </w:r>
          </w:p>
        </w:tc>
        <w:tc>
          <w:tcPr/>
          <w:p>
            <w:pPr>
              <w:pStyle w:val="Compact"/>
            </w:pP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pxl-terrain-st</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bl>
    <w:bookmarkEnd w:id="167"/>
    <w:bookmarkStart w:id="168"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rac-measur-st</w:t>
            </w:r>
          </w:p>
        </w:tc>
        <w:tc>
          <w:tcPr/>
          <w:p>
            <w:pPr>
              <w:pStyle w:val="Compact"/>
            </w:pPr>
            <w:r>
              <w:t xml:space="preserve">Measurand</w:t>
            </w:r>
          </w:p>
        </w:tc>
        <w:tc>
          <w:tcPr/>
          <w:p>
            <w:pPr>
              <w:pStyle w:val="Compact"/>
            </w:pPr>
          </w:p>
        </w:tc>
        <w:tc>
          <w:tcPr/>
          <w:p>
            <w:pPr>
              <w:pStyle w:val="Compact"/>
            </w:pPr>
          </w:p>
        </w:tc>
      </w:tr>
      <w:tr>
        <w:tc>
          <w:tcPr/>
          <w:p>
            <w:pPr>
              <w:pStyle w:val="Compact"/>
            </w:pPr>
            <w:r>
              <w:rPr>
                <w:rStyle w:val="VerbatimChar"/>
              </w:rPr>
              <w:t xml:space="preserve">rac-catmos</w:t>
            </w:r>
          </w:p>
        </w:tc>
        <w:tc>
          <w:tcPr/>
          <w:p>
            <w:pPr>
              <w:pStyle w:val="Compact"/>
            </w:pPr>
            <w:r>
              <w:t xml:space="preserve">Corrections for Atmosphere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rac-muncer-st</w:t>
            </w:r>
          </w:p>
        </w:tc>
        <w:tc>
          <w:tcPr/>
          <w:p>
            <w:pPr>
              <w:pStyle w:val="Compact"/>
            </w:pPr>
            <w:r>
              <w:t xml:space="preserve">Measurand Uncertainty</w:t>
            </w:r>
          </w:p>
        </w:tc>
        <w:tc>
          <w:tcPr/>
          <w:p>
            <w:pPr>
              <w:pStyle w:val="Compact"/>
            </w:pPr>
          </w:p>
        </w:tc>
        <w:tc>
          <w:tcPr/>
          <w:p>
            <w:pPr>
              <w:pStyle w:val="Compact"/>
            </w:pPr>
          </w:p>
        </w:tc>
      </w:tr>
    </w:tbl>
    <w:bookmarkEnd w:id="168"/>
    <w:bookmarkStart w:id="169"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gcor-geocorr-st</w:t>
            </w:r>
          </w:p>
        </w:tc>
        <w:tc>
          <w:tcPr/>
          <w:p>
            <w:pPr>
              <w:pStyle w:val="Compact"/>
            </w:pPr>
            <w:r>
              <w:t xml:space="preserve">Geometric Correction</w:t>
            </w:r>
          </w:p>
        </w:tc>
        <w:tc>
          <w:tcPr/>
          <w:p>
            <w:pPr>
              <w:pStyle w:val="Compact"/>
            </w:pPr>
          </w:p>
        </w:tc>
        <w:tc>
          <w:tcPr/>
          <w:p>
            <w:pPr>
              <w:pStyle w:val="Compact"/>
            </w:pPr>
          </w:p>
        </w:tc>
      </w:tr>
    </w:tbl>
    <w:p>
      <w:r>
        <w:br w:type="page"/>
      </w:r>
    </w:p>
    <w:bookmarkEnd w:id="169"/>
    <w:bookmarkEnd w:id="170"/>
    <w:bookmarkStart w:id="17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71"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71"/>
    <w:bookmarkStart w:id="173"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43"/>
        </w:numPr>
      </w:pPr>
      <w:r>
        <w:t xml:space="preserve">that product has been assessed as meeting CEOS-ARD requirements by the agency responsible for production and distribution of the product, and</w:t>
      </w:r>
    </w:p>
    <w:p>
      <w:pPr>
        <w:pStyle w:val="Compact"/>
        <w:numPr>
          <w:ilvl w:val="0"/>
          <w:numId w:val="1043"/>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72">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73"/>
    <w:bookmarkStart w:id="174"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74"/>
    <w:bookmarkEnd w:id="175"/>
    <w:bookmarkStart w:id="182" w:name="references"/>
    <w:p>
      <w:pPr>
        <w:pStyle w:val="berschrift2"/>
      </w:pPr>
      <w:r>
        <w:t xml:space="preserve">References</w:t>
      </w:r>
    </w:p>
    <w:bookmarkStart w:id="181" w:name="refs"/>
    <w:bookmarkStart w:id="177" w:name="ref-cook2014"/>
    <w:p>
      <w:pPr>
        <w:pStyle w:val="Literaturverzeichnis"/>
      </w:pPr>
      <w:r>
        <w:t xml:space="preserve">Cook, Monica, John R. Schott, John Mandel, and Nina Raqueno. 2014.</w:t>
      </w:r>
      <w:r>
        <w:t xml:space="preserve"> </w:t>
      </w:r>
      <w:r>
        <w:t xml:space="preserve">“Development of an Operational Calibration Methodology for the Landsat Thermal Data Archive and Initial Testing of the Atmospheric Compensation Component of a Land Surface Temperature (LST) Product from the Archive.”</w:t>
      </w:r>
      <w:r>
        <w:t xml:space="preserve"> </w:t>
      </w:r>
      <w:r>
        <w:rPr>
          <w:i/>
          <w:iCs/>
        </w:rPr>
        <w:t xml:space="preserve">Remote Sensing</w:t>
      </w:r>
      <w:r>
        <w:t xml:space="preserve"> </w:t>
      </w:r>
      <w:r>
        <w:t xml:space="preserve">6 (11): 11244–66.</w:t>
      </w:r>
      <w:r>
        <w:t xml:space="preserve"> </w:t>
      </w:r>
      <w:hyperlink r:id="rId176">
        <w:r>
          <w:rPr>
            <w:rStyle w:val="Hyperlink"/>
          </w:rPr>
          <w:t xml:space="preserve">https://doi.org/10.3390/rs61111244</w:t>
        </w:r>
      </w:hyperlink>
      <w:r>
        <w:t xml:space="preserve">.</w:t>
      </w:r>
    </w:p>
    <w:bookmarkEnd w:id="177"/>
    <w:bookmarkStart w:id="17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78"/>
    <w:bookmarkStart w:id="180" w:name="ref-li2013"/>
    <w:p>
      <w:pPr>
        <w:pStyle w:val="Literaturverzeichnis"/>
      </w:pPr>
      <w:r>
        <w:t xml:space="preserve">Li, Zhao-Liang, Bo-Hui Tang, Hua Wu, et al. 2013.</w:t>
      </w:r>
      <w:r>
        <w:t xml:space="preserve"> </w:t>
      </w:r>
      <w:r>
        <w:t xml:space="preserve">“Satellite-Derived Land Surface Temperature: Current Status and Perspectives.”</w:t>
      </w:r>
      <w:r>
        <w:t xml:space="preserve"> </w:t>
      </w:r>
      <w:r>
        <w:rPr>
          <w:i/>
          <w:iCs/>
        </w:rPr>
        <w:t xml:space="preserve">Remote Sensing of Environment</w:t>
      </w:r>
      <w:r>
        <w:t xml:space="preserve"> </w:t>
      </w:r>
      <w:r>
        <w:t xml:space="preserve">131: 14–37. https://doi.org/</w:t>
      </w:r>
      <w:hyperlink r:id="rId179">
        <w:r>
          <w:rPr>
            <w:rStyle w:val="Hyperlink"/>
          </w:rPr>
          <w:t xml:space="preserve">https://doi.org/10.1016/j.rse.2012.12.008</w:t>
        </w:r>
      </w:hyperlink>
      <w:r>
        <w:t xml:space="preserve">.</w:t>
      </w:r>
    </w:p>
    <w:bookmarkEnd w:id="180"/>
    <w:bookmarkEnd w:id="181"/>
    <w:bookmarkEnd w:id="182"/>
    <w:bookmarkEnd w:id="183"/>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72" Target="https://ceos.org/ard/files/CEOS_ARD_Governance_Framework_18-October-2021.pdf" TargetMode="External" /><Relationship Type="http://schemas.openxmlformats.org/officeDocument/2006/relationships/hyperlink" Id="rId73" Target="https://database.eohandbook.com" TargetMode="External" /><Relationship Type="http://schemas.openxmlformats.org/officeDocument/2006/relationships/hyperlink" Id="rId179" Target="https://doi.org/10.1016/j.rse.2012.12.008" TargetMode="External" /><Relationship Type="http://schemas.openxmlformats.org/officeDocument/2006/relationships/hyperlink" Id="rId176" Target="https://doi.org/10.3390/rs61111244"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72" Target="https://ceos.org/ard/files/CEOS_ARD_Governance_Framework_18-October-2021.pdf" TargetMode="External" /><Relationship Type="http://schemas.openxmlformats.org/officeDocument/2006/relationships/hyperlink" Id="rId73" Target="https://database.eohandbook.com" TargetMode="External" /><Relationship Type="http://schemas.openxmlformats.org/officeDocument/2006/relationships/hyperlink" Id="rId179" Target="https://doi.org/10.1016/j.rse.2012.12.008" TargetMode="External" /><Relationship Type="http://schemas.openxmlformats.org/officeDocument/2006/relationships/hyperlink" Id="rId176" Target="https://doi.org/10.3390/rs61111244"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Brightness Temperature - Version 1.0.0-draft</dc:title>
  <dc:creator/>
  <dc:language>en</dc:language>
  <cp:keywords/>
  <dcterms:created xsi:type="dcterms:W3CDTF">2026-09-15T18:58:21Z</dcterms:created>
  <dcterms:modified xsi:type="dcterms:W3CDTF">2026-09-15T18:58:21Z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/home/runner/work/ceos-ard/ceos-ard/build/SBT.bib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