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0" w:name="ceos-ard---optical---surface-reflectance"/>
    <w:p>
      <w:pPr>
        <w:pStyle w:val="berschrift1"/>
      </w:pPr>
      <w:r>
        <w:t xml:space="preserve">CEOS-ARD - Optical - Surface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pPr>
        <w:pStyle w:val="Compact"/>
        <w:numPr>
          <w:ilvl w:val="0"/>
          <w:numId w:val="1002"/>
        </w:numPr>
      </w:pPr>
      <w:r>
        <w:t xml:space="preserve">Matt Steventon, LSI-VC Secretariat</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Reflectance (SR)</w:t>
      </w:r>
    </w:p>
    <w:p>
      <w:pPr>
        <w:pStyle w:val="Textkrper"/>
      </w:pPr>
      <w:r>
        <w:rPr>
          <w:b/>
          <w:bCs/>
        </w:rPr>
        <w:t xml:space="preserve">Version:</w:t>
      </w:r>
      <w:r>
        <w:t xml:space="preserve"> </w:t>
      </w:r>
      <w:r>
        <w:t xml:space="preserve">5.0.2-draft</w:t>
      </w:r>
    </w:p>
    <w:p>
      <w:pPr>
        <w:pStyle w:val="Textkrper"/>
      </w:pPr>
      <w:r>
        <w:rPr>
          <w:b/>
          <w:bCs/>
        </w:rPr>
        <w:t xml:space="preserve">Applies to:</w:t>
      </w:r>
      <w:r>
        <w:t xml:space="preserve"> </w:t>
      </w:r>
      <w:r>
        <w:t xml:space="preserve">Data collected with multispectral optical sensors operating in the VIS/NIR/SWIR wavelengths at all ground sample distances and resolutions.</w:t>
      </w:r>
    </w:p>
    <w:p>
      <w:r>
        <w:br w:type="page"/>
      </w:r>
    </w:p>
    <w:bookmarkEnd w:id="34"/>
    <w:bookmarkStart w:id="35"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BRDF</w:t>
      </w:r>
    </w:p>
    <w:p>
      <w:pPr>
        <w:pStyle w:val="Definition"/>
      </w:pPr>
      <w:r>
        <w:t xml:space="preserve">Bi-Directional Reflectance Function</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SR</w:t>
      </w:r>
    </w:p>
    <w:p>
      <w:pPr>
        <w:pStyle w:val="Definition"/>
      </w:pPr>
      <w:r>
        <w:t xml:space="preserve">Surface Reflectance</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5"/>
    <w:bookmarkStart w:id="18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4"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6" w:name="threshold-requirements"/>
    <w:p>
      <w:pPr>
        <w:pStyle w:val="berschrift5"/>
      </w:pPr>
      <w:r>
        <w:t xml:space="preserve">Threshold requirements:</w:t>
      </w:r>
    </w:p>
    <w:p>
      <w:pPr>
        <w:pStyle w:val="FirstParagraph"/>
      </w:pPr>
      <w:r>
        <w:t xml:space="preserve">Not required.</w:t>
      </w:r>
      <w:r>
        <w:t xml:space="preserve"> </w:t>
      </w:r>
    </w:p>
    <w:bookmarkEnd w:id="36"/>
    <w:bookmarkStart w:id="37"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7"/>
    <w:bookmarkStart w:id="38"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8"/>
    <w:bookmarkEnd w:id="39"/>
    <w:bookmarkStart w:id="43"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0"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0"/>
    <w:bookmarkStart w:id="41"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1"/>
    <w:bookmarkStart w:id="42"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2"/>
    <w:bookmarkEnd w:id="43"/>
    <w:bookmarkStart w:id="47"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4"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4"/>
    <w:bookmarkStart w:id="45"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5"/>
    <w:bookmarkStart w:id="46"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6"/>
    <w:bookmarkEnd w:id="47"/>
    <w:bookmarkStart w:id="51"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8"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8"/>
    <w:bookmarkStart w:id="49"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49"/>
    <w:bookmarkStart w:id="50"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0"/>
    <w:bookmarkEnd w:id="51"/>
    <w:bookmarkStart w:id="55"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2" w:name="threshold-requirements-4"/>
    <w:p>
      <w:pPr>
        <w:pStyle w:val="berschrift5"/>
      </w:pPr>
      <w:r>
        <w:t xml:space="preserve">Threshold requirements:</w:t>
      </w:r>
    </w:p>
    <w:p>
      <w:pPr>
        <w:pStyle w:val="FirstParagraph"/>
      </w:pPr>
      <w:r>
        <w:t xml:space="preserve">The metadata lists the coordinate reference system that has been used.</w:t>
      </w:r>
    </w:p>
    <w:bookmarkEnd w:id="52"/>
    <w:bookmarkStart w:id="53" w:name="goal-requirements-4"/>
    <w:p>
      <w:pPr>
        <w:pStyle w:val="berschrift5"/>
      </w:pPr>
      <w:r>
        <w:t xml:space="preserve">Goal requirements:</w:t>
      </w:r>
    </w:p>
    <w:p>
      <w:pPr>
        <w:pStyle w:val="FirstParagraph"/>
      </w:pPr>
      <w:r>
        <w:t xml:space="preserve">As threshold.</w:t>
      </w:r>
      <w:r>
        <w:t xml:space="preserve"> </w:t>
      </w:r>
    </w:p>
    <w:bookmarkEnd w:id="53"/>
    <w:bookmarkStart w:id="54"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4"/>
    <w:bookmarkEnd w:id="55"/>
    <w:bookmarkStart w:id="59" w:name="sec:meta-mapproj-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meta-mapproj-sr</w:t>
      </w:r>
    </w:p>
    <w:bookmarkStart w:id="56" w:name="threshold-requirements-5"/>
    <w:p>
      <w:pPr>
        <w:pStyle w:val="berschrift5"/>
      </w:pPr>
      <w:r>
        <w:t xml:space="preserve">Threshold requirements:</w:t>
      </w:r>
    </w:p>
    <w:p>
      <w:pPr>
        <w:pStyle w:val="FirstParagraph"/>
      </w:pPr>
      <w:r>
        <w:t xml:space="preserve">The metadata lists the map projection that has been used (or geographical coordinates, if applicable) and any relevant parameters required in relation to use of data in that map projection.</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8"/>
    <w:bookmarkEnd w:id="59"/>
    <w:bookmarkStart w:id="63"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0" w:name="threshold-requirements-6"/>
    <w:p>
      <w:pPr>
        <w:pStyle w:val="berschrift5"/>
      </w:pPr>
      <w:r>
        <w:t xml:space="preserve">Threshold requirements:</w:t>
      </w:r>
    </w:p>
    <w:p>
      <w:pPr>
        <w:pStyle w:val="FirstParagraph"/>
      </w:pPr>
      <w:r>
        <w:t xml:space="preserve">Not required.</w:t>
      </w:r>
      <w:r>
        <w:t xml:space="preserve"> </w:t>
      </w:r>
    </w:p>
    <w:bookmarkEnd w:id="60"/>
    <w:bookmarkStart w:id="61"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1"/>
    <w:bookmarkStart w:id="62"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5"/>
    <w:bookmarkStart w:id="66"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6"/>
    <w:bookmarkEnd w:id="67"/>
    <w:bookmarkStart w:id="71"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8" w:name="threshold-requirements-8"/>
    <w:p>
      <w:pPr>
        <w:pStyle w:val="berschrift5"/>
      </w:pPr>
      <w:r>
        <w:t xml:space="preserve">Threshold requirements:</w:t>
      </w:r>
    </w:p>
    <w:p>
      <w:pPr>
        <w:pStyle w:val="FirstParagraph"/>
      </w:pPr>
      <w:r>
        <w:t xml:space="preserve">The instrument used to collect the data is identified in the metadata.</w:t>
      </w:r>
    </w:p>
    <w:bookmarkEnd w:id="68"/>
    <w:bookmarkStart w:id="69"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69"/>
    <w:bookmarkStart w:id="70"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0"/>
    <w:bookmarkEnd w:id="71"/>
    <w:bookmarkStart w:id="75"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2"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2"/>
    <w:bookmarkStart w:id="73"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3"/>
    <w:bookmarkStart w:id="74"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4"/>
    <w:bookmarkEnd w:id="75"/>
    <w:bookmarkStart w:id="79"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6" w:name="threshold-requirements-10"/>
    <w:p>
      <w:pPr>
        <w:pStyle w:val="berschrift5"/>
      </w:pPr>
      <w:r>
        <w:t xml:space="preserve">Threshold requirements:</w:t>
      </w:r>
    </w:p>
    <w:p>
      <w:pPr>
        <w:pStyle w:val="FirstParagraph"/>
      </w:pPr>
      <w:r>
        <w:t xml:space="preserve">Not required.</w:t>
      </w:r>
      <w:r>
        <w:t xml:space="preserve"> </w:t>
      </w:r>
    </w:p>
    <w:bookmarkEnd w:id="76"/>
    <w:bookmarkStart w:id="77"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7"/>
    <w:bookmarkStart w:id="78"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8"/>
    <w:bookmarkEnd w:id="79"/>
    <w:bookmarkStart w:id="83"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0" w:name="threshold-requirements-11"/>
    <w:p>
      <w:pPr>
        <w:pStyle w:val="berschrift5"/>
      </w:pPr>
      <w:r>
        <w:t xml:space="preserve">Threshold requirements:</w:t>
      </w:r>
    </w:p>
    <w:p>
      <w:pPr>
        <w:pStyle w:val="FirstParagraph"/>
      </w:pPr>
      <w:r>
        <w:t xml:space="preserve">Not required.</w:t>
      </w:r>
      <w:r>
        <w:t xml:space="preserve"> </w:t>
      </w:r>
    </w:p>
    <w:bookmarkEnd w:id="80"/>
    <w:bookmarkStart w:id="81"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1"/>
    <w:bookmarkStart w:id="82"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4"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4"/>
    <w:bookmarkStart w:id="85"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5"/>
    <w:bookmarkStart w:id="86"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8"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8"/>
    <w:bookmarkStart w:id="89"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89"/>
    <w:bookmarkStart w:id="90"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0"/>
    <w:bookmarkEnd w:id="91"/>
    <w:bookmarkStart w:id="95" w:name="sec:meta-proprov-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meta-proprov-sr</w:t>
      </w:r>
    </w:p>
    <w:bookmarkStart w:id="92" w:name="threshold-requirements-14"/>
    <w:p>
      <w:pPr>
        <w:pStyle w:val="berschrift5"/>
      </w:pPr>
      <w:r>
        <w:t xml:space="preserve">Threshold requirements:</w:t>
      </w:r>
    </w:p>
    <w:p>
      <w:pPr>
        <w:pStyle w:val="FirstParagraph"/>
      </w:pPr>
      <w:r>
        <w:t xml:space="preserve">Not required.</w:t>
      </w:r>
      <w:r>
        <w:t xml:space="preserve"> </w:t>
      </w:r>
    </w:p>
    <w:bookmarkEnd w:id="92"/>
    <w:bookmarkStart w:id="93"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including the versions of software used, giving full transparency to the users.</w:t>
      </w:r>
    </w:p>
    <w:bookmarkEnd w:id="93"/>
    <w:bookmarkStart w:id="94"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4"/>
    <w:bookmarkEnd w:id="95"/>
    <w:bookmarkStart w:id="99"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6"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6"/>
    <w:bookmarkStart w:id="97" w:name="goal-requirements-15"/>
    <w:p>
      <w:pPr>
        <w:pStyle w:val="berschrift5"/>
      </w:pPr>
      <w:r>
        <w:t xml:space="preserve">Goal requirements:</w:t>
      </w:r>
    </w:p>
    <w:p>
      <w:pPr>
        <w:pStyle w:val="FirstParagraph"/>
      </w:pPr>
      <w:r>
        <w:t xml:space="preserve">As threshold.</w:t>
      </w:r>
      <w:r>
        <w:t xml:space="preserve"> </w:t>
      </w:r>
    </w:p>
    <w:bookmarkEnd w:id="97"/>
    <w:bookmarkStart w:id="98"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0" w:name="threshold-requirements-16"/>
    <w:p>
      <w:pPr>
        <w:pStyle w:val="berschrift5"/>
      </w:pPr>
      <w:r>
        <w:t xml:space="preserve">Threshold requirements:</w:t>
      </w:r>
    </w:p>
    <w:p>
      <w:pPr>
        <w:pStyle w:val="FirstParagraph"/>
      </w:pPr>
      <w:r>
        <w:t xml:space="preserve">Not required.</w:t>
      </w:r>
      <w:r>
        <w:t xml:space="preserve"> </w:t>
      </w:r>
    </w:p>
    <w:bookmarkEnd w:id="100"/>
    <w:bookmarkStart w:id="101"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1"/>
    <w:bookmarkStart w:id="102"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2"/>
    <w:bookmarkEnd w:id="103"/>
    <w:bookmarkEnd w:id="104"/>
    <w:bookmarkStart w:id="153"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8"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5"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5"/>
    <w:bookmarkStart w:id="106" w:name="goal-requirements-17"/>
    <w:p>
      <w:pPr>
        <w:pStyle w:val="berschrift5"/>
      </w:pPr>
      <w:r>
        <w:t xml:space="preserve">Goal requirements:</w:t>
      </w:r>
    </w:p>
    <w:p>
      <w:pPr>
        <w:pStyle w:val="FirstParagraph"/>
      </w:pPr>
      <w:r>
        <w:t xml:space="preserve">As threshold.</w:t>
      </w:r>
      <w:r>
        <w:t xml:space="preserve"> </w:t>
      </w:r>
    </w:p>
    <w:bookmarkEnd w:id="106"/>
    <w:bookmarkStart w:id="107"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7"/>
    <w:bookmarkEnd w:id="108"/>
    <w:bookmarkStart w:id="112"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09"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1"/>
    <w:bookmarkEnd w:id="112"/>
    <w:bookmarkStart w:id="116"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3"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3"/>
    <w:bookmarkStart w:id="114"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4"/>
    <w:bookmarkStart w:id="115"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5"/>
    <w:bookmarkEnd w:id="116"/>
    <w:bookmarkStart w:id="120"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7"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7"/>
    <w:bookmarkStart w:id="118" w:name="goal-requirements-20"/>
    <w:p>
      <w:pPr>
        <w:pStyle w:val="berschrift5"/>
      </w:pPr>
      <w:r>
        <w:t xml:space="preserve">Goal requirements:</w:t>
      </w:r>
    </w:p>
    <w:p>
      <w:pPr>
        <w:pStyle w:val="FirstParagraph"/>
      </w:pPr>
      <w:r>
        <w:t xml:space="preserve">Metadata indicates which pixels are saturated for each spectral band.</w:t>
      </w:r>
    </w:p>
    <w:bookmarkEnd w:id="118"/>
    <w:bookmarkStart w:id="119"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1" w:name="threshold-requirements-21"/>
    <w:p>
      <w:pPr>
        <w:pStyle w:val="berschrift5"/>
      </w:pPr>
      <w:r>
        <w:t xml:space="preserve">Threshold requirements:</w:t>
      </w:r>
    </w:p>
    <w:p>
      <w:pPr>
        <w:pStyle w:val="FirstParagraph"/>
      </w:pPr>
      <w:r>
        <w:t xml:space="preserve">Metadata indicates whether a pixel is assessed as being cloud.</w:t>
      </w:r>
    </w:p>
    <w:bookmarkEnd w:id="121"/>
    <w:bookmarkStart w:id="122"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2"/>
    <w:bookmarkStart w:id="123"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3"/>
    <w:bookmarkEnd w:id="124"/>
    <w:bookmarkStart w:id="128"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5" w:name="threshold-requirements-22"/>
    <w:p>
      <w:pPr>
        <w:pStyle w:val="berschrift5"/>
      </w:pPr>
      <w:r>
        <w:t xml:space="preserve">Threshold requirements:</w:t>
      </w:r>
    </w:p>
    <w:p>
      <w:pPr>
        <w:pStyle w:val="FirstParagraph"/>
      </w:pPr>
      <w:r>
        <w:t xml:space="preserve">Metadata indicates whether a pixel is assessed as being cloud shadow.</w:t>
      </w:r>
    </w:p>
    <w:bookmarkEnd w:id="125"/>
    <w:bookmarkStart w:id="126"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6"/>
    <w:bookmarkStart w:id="127"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7"/>
    <w:bookmarkEnd w:id="128"/>
    <w:bookmarkStart w:id="132" w:name="sec:pxl-lawama-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pxl-lawama-sr</w:t>
      </w:r>
    </w:p>
    <w:bookmarkStart w:id="129" w:name="threshold-requirements-23"/>
    <w:p>
      <w:pPr>
        <w:pStyle w:val="berschrift5"/>
      </w:pPr>
      <w:r>
        <w:t xml:space="preserve">Threshold requirements:</w:t>
      </w:r>
    </w:p>
    <w:p>
      <w:pPr>
        <w:pStyle w:val="FirstParagraph"/>
      </w:pPr>
      <w:r>
        <w:t xml:space="preserve">Not required.</w:t>
      </w:r>
      <w:r>
        <w:t xml:space="preserve"> </w:t>
      </w:r>
    </w:p>
    <w:bookmarkEnd w:id="129"/>
    <w:bookmarkStart w:id="130" w:name="goal-requirements-23"/>
    <w:p>
      <w:pPr>
        <w:pStyle w:val="berschrift5"/>
      </w:pPr>
      <w:r>
        <w:t xml:space="preserve">Goal requirements:</w:t>
      </w:r>
    </w:p>
    <w:p>
      <w:pPr>
        <w:pStyle w:val="FirstParagraph"/>
      </w:pPr>
      <w:r>
        <w:t xml:space="preserve">The metadata indicates whether a pixel is assessed as being land or water. Information on land/water mask should be available in the metadata as a single DOI landing page.</w:t>
      </w:r>
    </w:p>
    <w:bookmarkEnd w:id="130"/>
    <w:bookmarkStart w:id="131"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xl-snowice-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3" w:name="threshold-requirements-24"/>
    <w:p>
      <w:pPr>
        <w:pStyle w:val="berschrift5"/>
      </w:pPr>
      <w:r>
        <w:t xml:space="preserve">Threshold requirements:</w:t>
      </w:r>
    </w:p>
    <w:p>
      <w:pPr>
        <w:pStyle w:val="FirstParagraph"/>
      </w:pPr>
      <w:r>
        <w:t xml:space="preserve">Not required.</w:t>
      </w:r>
      <w:r>
        <w:t xml:space="preserve"> </w:t>
      </w:r>
    </w:p>
    <w:bookmarkEnd w:id="133"/>
    <w:bookmarkStart w:id="134" w:name="goal-requirements-24"/>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4"/>
    <w:bookmarkStart w:id="135"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7" w:name="threshold-requirements-25"/>
    <w:p>
      <w:pPr>
        <w:pStyle w:val="berschrift5"/>
      </w:pPr>
      <w:r>
        <w:t xml:space="preserve">Threshold requirements:</w:t>
      </w:r>
    </w:p>
    <w:p>
      <w:pPr>
        <w:pStyle w:val="FirstParagraph"/>
      </w:pPr>
      <w:r>
        <w:t xml:space="preserve">Not required.</w:t>
      </w:r>
      <w:r>
        <w:t xml:space="preserve"> </w:t>
      </w:r>
    </w:p>
    <w:bookmarkEnd w:id="137"/>
    <w:bookmarkStart w:id="138"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8"/>
    <w:bookmarkStart w:id="139"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1" w:name="threshold-requirements-26"/>
    <w:p>
      <w:pPr>
        <w:pStyle w:val="berschrift5"/>
      </w:pPr>
      <w:r>
        <w:t xml:space="preserve">Threshold requirements:</w:t>
      </w:r>
    </w:p>
    <w:p>
      <w:pPr>
        <w:pStyle w:val="FirstParagraph"/>
      </w:pPr>
      <w:r>
        <w:t xml:space="preserve">Not required.</w:t>
      </w:r>
      <w:r>
        <w:t xml:space="preserve"> </w:t>
      </w:r>
    </w:p>
    <w:bookmarkEnd w:id="141"/>
    <w:bookmarkStart w:id="142"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2"/>
    <w:bookmarkStart w:id="143"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3"/>
    <w:bookmarkEnd w:id="144"/>
    <w:bookmarkStart w:id="148" w:name="sec:pxl-vigeso"/>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45" w:name="threshold-requirements-27"/>
    <w:p>
      <w:pPr>
        <w:pStyle w:val="berschrift5"/>
      </w:pPr>
      <w:r>
        <w:t xml:space="preserve">Threshold requirements:</w:t>
      </w:r>
    </w:p>
    <w:p>
      <w:pPr>
        <w:pStyle w:val="FirstParagraph"/>
      </w:pPr>
      <w:r>
        <w:t xml:space="preserve">Provide average solar and sensor viewing azimuth and zenith angles.</w:t>
      </w:r>
    </w:p>
    <w:bookmarkEnd w:id="145"/>
    <w:bookmarkStart w:id="146" w:name="goal-requirements-27"/>
    <w:p>
      <w:pPr>
        <w:pStyle w:val="berschrift5"/>
      </w:pPr>
      <w:r>
        <w:t xml:space="preserve">Goal requirements:</w:t>
      </w:r>
    </w:p>
    <w:p>
      <w:pPr>
        <w:pStyle w:val="FirstParagraph"/>
      </w:pPr>
      <w:r>
        <w:t xml:space="preserve">Provide per-pixel solar and sensor viewing azimuth and zenith angles.</w:t>
      </w:r>
    </w:p>
    <w:bookmarkEnd w:id="146"/>
    <w:bookmarkStart w:id="147"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49" w:name="threshold-requirements-28"/>
    <w:p>
      <w:pPr>
        <w:pStyle w:val="berschrift5"/>
      </w:pPr>
      <w:r>
        <w:t xml:space="preserve">Threshold requirements:</w:t>
      </w:r>
    </w:p>
    <w:p>
      <w:pPr>
        <w:pStyle w:val="FirstParagraph"/>
      </w:pPr>
      <w:r>
        <w:t xml:space="preserve">Not required.</w:t>
      </w:r>
      <w:r>
        <w:t xml:space="preserve"> </w:t>
      </w:r>
    </w:p>
    <w:bookmarkEnd w:id="149"/>
    <w:bookmarkStart w:id="150"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0"/>
    <w:bookmarkStart w:id="151"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51"/>
    <w:bookmarkEnd w:id="152"/>
    <w:bookmarkEnd w:id="153"/>
    <w:bookmarkStart w:id="178"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7" w:name="sec:rac-measur-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rac-measur-sr</w:t>
      </w:r>
    </w:p>
    <w:bookmarkStart w:id="154" w:name="threshold-requirements-29"/>
    <w:p>
      <w:pPr>
        <w:pStyle w:val="berschrift5"/>
      </w:pPr>
      <w:r>
        <w:t xml:space="preserve">Threshold requirements:</w:t>
      </w:r>
    </w:p>
    <w:p>
      <w:pPr>
        <w:pStyle w:val="FirstParagraph"/>
      </w:pPr>
      <w:r>
        <w:t xml:space="preserve">Pixel values are expressed as a measurement of the Surface Reflectance of the land. This is a dimensionless value.</w:t>
      </w:r>
    </w:p>
    <w:p>
      <w:pPr>
        <w:pStyle w:val="Textkrper"/>
      </w:pPr>
      <w:r>
        <w:t xml:space="preserve">Note:</w:t>
      </w:r>
    </w:p>
    <w:p>
      <w:pPr>
        <w:pStyle w:val="Compact"/>
        <w:numPr>
          <w:ilvl w:val="0"/>
          <w:numId w:val="1043"/>
        </w:numPr>
      </w:pPr>
      <w:r>
        <w:t xml:space="preserve">Radiometric corrections must lead to a valid measurement of surface reflectance.</w:t>
      </w:r>
    </w:p>
    <w:bookmarkEnd w:id="154"/>
    <w:bookmarkStart w:id="155" w:name="goal-requirements-29"/>
    <w:p>
      <w:pPr>
        <w:pStyle w:val="berschrift5"/>
      </w:pPr>
      <w:r>
        <w:t xml:space="preserve">Goal requirements:</w:t>
      </w:r>
    </w:p>
    <w:p>
      <w:pPr>
        <w:pStyle w:val="FirstParagraph"/>
      </w:pPr>
      <w:r>
        <w:t xml:space="preserve">Surface Reflectance measurements are SI traceable (see also</w:t>
      </w:r>
      <w:r>
        <w:t xml:space="preserve"> </w:t>
      </w:r>
      <w:hyperlink w:anchor="sec:meta-trace-sr">
        <w:r>
          <w:rPr>
            <w:rStyle w:val="Hyperlink"/>
          </w:rPr>
          <w:t xml:space="preserve">General Metadata: Traceability</w:t>
        </w:r>
      </w:hyperlink>
      <w:r>
        <w:t xml:space="preserve">).</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58" w:name="threshold-requirements-30"/>
    <w:p>
      <w:pPr>
        <w:pStyle w:val="berschrift5"/>
      </w:pPr>
      <w:r>
        <w:t xml:space="preserve">Threshold requirements:</w:t>
      </w:r>
    </w:p>
    <w:p>
      <w:pPr>
        <w:pStyle w:val="FirstParagraph"/>
      </w:pPr>
      <w:r>
        <w:t xml:space="preserve">Not required.</w:t>
      </w:r>
      <w:r>
        <w:t xml:space="preserve"> </w:t>
      </w:r>
    </w:p>
    <w:bookmarkEnd w:id="158"/>
    <w:bookmarkStart w:id="159" w:name="goal-requirements-30"/>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5"/>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5"/>
        </w:numPr>
      </w:pPr>
      <w:r>
        <w:t xml:space="preserve">Information on measurement uncertainty should be available in the metadata as a single DOI landing page.</w:t>
      </w:r>
    </w:p>
    <w:bookmarkEnd w:id="159"/>
    <w:bookmarkStart w:id="160"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0"/>
    <w:bookmarkEnd w:id="161"/>
    <w:bookmarkStart w:id="165" w:name="sec:rac-mnorma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rac-mnormal-sr</w:t>
      </w:r>
    </w:p>
    <w:bookmarkStart w:id="162" w:name="threshold-requirements-31"/>
    <w:p>
      <w:pPr>
        <w:pStyle w:val="berschrift5"/>
      </w:pPr>
      <w:r>
        <w:t xml:space="preserve">Threshold requirements:</w:t>
      </w:r>
    </w:p>
    <w:p>
      <w:pPr>
        <w:pStyle w:val="FirstParagraph"/>
      </w:pPr>
      <w:r>
        <w:t xml:space="preserve">Not required.</w:t>
      </w:r>
      <w:r>
        <w:t xml:space="preserve"> </w:t>
      </w:r>
    </w:p>
    <w:bookmarkEnd w:id="162"/>
    <w:bookmarkStart w:id="163" w:name="goal-requirements-31"/>
    <w:p>
      <w:pPr>
        <w:pStyle w:val="berschrift5"/>
      </w:pPr>
      <w:r>
        <w:t xml:space="preserve">Goal requirements:</w:t>
      </w:r>
    </w:p>
    <w:p>
      <w:pPr>
        <w:pStyle w:val="FirstParagraph"/>
      </w:pPr>
      <w:r>
        <w:t xml:space="preserve">Measurements are normalised for solar and viewing conditions (i.e., nadir view angle and average solar angles). This may include terrain illumination and/or Bi-Directional Reflectance Function (BRDF) correction.</w:t>
      </w:r>
    </w:p>
    <w:p>
      <w:pPr>
        <w:pStyle w:val="Textkrper"/>
      </w:pPr>
      <w:r>
        <w:t xml:space="preserve">Note:</w:t>
      </w:r>
    </w:p>
    <w:p>
      <w:pPr>
        <w:pStyle w:val="Compact"/>
        <w:numPr>
          <w:ilvl w:val="0"/>
          <w:numId w:val="1047"/>
        </w:numPr>
      </w:pPr>
      <w:r>
        <w:t xml:space="preserve">Information on measurement normalisation should be available in the metadata as a single DOI landing page.</w:t>
      </w:r>
    </w:p>
    <w:bookmarkEnd w:id="163"/>
    <w:bookmarkStart w:id="164"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rac-dirats-s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rac-dirats-sr</w:t>
      </w:r>
    </w:p>
    <w:bookmarkStart w:id="166" w:name="threshold-requirements-32"/>
    <w:p>
      <w:pPr>
        <w:pStyle w:val="berschrift5"/>
      </w:pPr>
      <w:r>
        <w:t xml:space="preserve">Threshold requirements:</w:t>
      </w:r>
    </w:p>
    <w:p>
      <w:pPr>
        <w:pStyle w:val="FirstParagraph"/>
      </w:pPr>
      <w:r>
        <w:t xml:space="preserve">Corrections are applied for aerosols and molecular (Rayleigh) scattering.</w:t>
      </w:r>
    </w:p>
    <w:p>
      <w:pPr>
        <w:pStyle w:val="Textkrper"/>
      </w:pPr>
      <w:r>
        <w:t xml:space="preserve">Metadata contains a single DOI landing page with references to:</w:t>
      </w:r>
    </w:p>
    <w:p>
      <w:pPr>
        <w:pStyle w:val="Compact"/>
        <w:numPr>
          <w:ilvl w:val="0"/>
          <w:numId w:val="1049"/>
        </w:numPr>
      </w:pPr>
      <w:r>
        <w:t xml:space="preserve">a citable peer-reviewed algorithm</w:t>
      </w:r>
    </w:p>
    <w:p>
      <w:pPr>
        <w:pStyle w:val="Compact"/>
        <w:numPr>
          <w:ilvl w:val="0"/>
          <w:numId w:val="1049"/>
        </w:numPr>
      </w:pPr>
      <w:r>
        <w:t xml:space="preserve">technical documentation regarding the implementation of that algorithm</w:t>
      </w:r>
    </w:p>
    <w:p>
      <w:pPr>
        <w:pStyle w:val="Compact"/>
        <w:numPr>
          <w:ilvl w:val="0"/>
          <w:numId w:val="1049"/>
        </w:numPr>
      </w:pPr>
      <w:r>
        <w:t xml:space="preserve">the sources of ancillary data used to make corrections</w:t>
      </w:r>
    </w:p>
    <w:p>
      <w:pPr>
        <w:pStyle w:val="FirstParagraph"/>
      </w:pPr>
      <w:r>
        <w:t xml:space="preserve">Note:</w:t>
      </w:r>
    </w:p>
    <w:p>
      <w:pPr>
        <w:pStyle w:val="Compact"/>
        <w:numPr>
          <w:ilvl w:val="0"/>
          <w:numId w:val="1050"/>
        </w:numPr>
      </w:pPr>
      <w:r>
        <w:t xml:space="preserve">Examples of technical documentation include an Algorithm Theoretical Basis Document, product user guide, etc.</w:t>
      </w:r>
    </w:p>
    <w:bookmarkEnd w:id="166"/>
    <w:bookmarkStart w:id="167" w:name="goal-requirements-32"/>
    <w:p>
      <w:pPr>
        <w:pStyle w:val="berschrift5"/>
      </w:pPr>
      <w:r>
        <w:t xml:space="preserve">Goal requirements:</w:t>
      </w:r>
    </w:p>
    <w:p>
      <w:pPr>
        <w:pStyle w:val="FirstParagraph"/>
      </w:pPr>
      <w:r>
        <w:t xml:space="preserve">As threshold.</w:t>
      </w:r>
      <w:r>
        <w:t xml:space="preserve"> </w:t>
      </w:r>
    </w:p>
    <w:bookmarkEnd w:id="167"/>
    <w:bookmarkStart w:id="168"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8"/>
    <w:bookmarkEnd w:id="169"/>
    <w:bookmarkStart w:id="173" w:name="sec:rac-wavap-s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rac-wavap-sr</w:t>
      </w:r>
    </w:p>
    <w:bookmarkStart w:id="170" w:name="threshold-requirements-33"/>
    <w:p>
      <w:pPr>
        <w:pStyle w:val="berschrift5"/>
      </w:pPr>
      <w:r>
        <w:t xml:space="preserve">Threshold requirements:</w:t>
      </w:r>
    </w:p>
    <w:p>
      <w:pPr>
        <w:pStyle w:val="FirstParagraph"/>
      </w:pPr>
      <w:r>
        <w:t xml:space="preserve">Corrections are applied for water vapour. 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0"/>
    <w:bookmarkStart w:id="171" w:name="goal-requirements-33"/>
    <w:p>
      <w:pPr>
        <w:pStyle w:val="berschrift5"/>
      </w:pPr>
      <w:r>
        <w:t xml:space="preserve">Goal requirements:</w:t>
      </w:r>
    </w:p>
    <w:p>
      <w:pPr>
        <w:pStyle w:val="FirstParagraph"/>
      </w:pPr>
      <w:r>
        <w:t xml:space="preserve">As threshold.</w:t>
      </w:r>
      <w:r>
        <w:t xml:space="preserve"> </w:t>
      </w:r>
    </w:p>
    <w:bookmarkEnd w:id="171"/>
    <w:bookmarkStart w:id="172" w:name="assessment-33"/>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2"/>
    <w:bookmarkEnd w:id="173"/>
    <w:bookmarkStart w:id="177" w:name="sec:rac-cozone-sr"/>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rac-cozone-sr</w:t>
      </w:r>
    </w:p>
    <w:bookmarkStart w:id="174" w:name="threshold-requirements-34"/>
    <w:p>
      <w:pPr>
        <w:pStyle w:val="berschrift5"/>
      </w:pPr>
      <w:r>
        <w:t xml:space="preserve">Threshold requirements:</w:t>
      </w:r>
    </w:p>
    <w:p>
      <w:pPr>
        <w:pStyle w:val="FirstParagraph"/>
      </w:pPr>
      <w:r>
        <w:t xml:space="preserve">Not required.</w:t>
      </w:r>
      <w:r>
        <w:t xml:space="preserve"> </w:t>
      </w:r>
    </w:p>
    <w:bookmarkEnd w:id="174"/>
    <w:bookmarkStart w:id="175" w:name="goal-requirements-34"/>
    <w:p>
      <w:pPr>
        <w:pStyle w:val="berschrift5"/>
      </w:pPr>
      <w:r>
        <w:t xml:space="preserve">Goal requirements:</w:t>
      </w:r>
    </w:p>
    <w:p>
      <w:pPr>
        <w:pStyle w:val="FirstParagraph"/>
      </w:pPr>
      <w:r>
        <w:t xml:space="preserve">Data is corrected for ozone.</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w:t>
      </w:r>
    </w:p>
    <w:bookmarkEnd w:id="175"/>
    <w:bookmarkStart w:id="176"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bookmarkEnd w:id="176"/>
    <w:bookmarkEnd w:id="177"/>
    <w:bookmarkEnd w:id="178"/>
    <w:bookmarkStart w:id="183"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82"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79" w:name="threshold-requirements-35"/>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7"/>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79"/>
    <w:bookmarkStart w:id="180" w:name="goal-requirements-35"/>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8"/>
        </w:numPr>
      </w:pPr>
      <w:r>
        <w:t xml:space="preserve">This requirement is intended to enable interoperability between imagery from different platforms that meet this level of correction, and with non-image spatial data such as GIS layers and terrain models.</w:t>
      </w:r>
    </w:p>
    <w:bookmarkEnd w:id="180"/>
    <w:bookmarkStart w:id="181"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br w:type="page"/>
      </w:r>
    </w:p>
    <w:bookmarkEnd w:id="181"/>
    <w:bookmarkEnd w:id="182"/>
    <w:bookmarkEnd w:id="183"/>
    <w:bookmarkEnd w:id="184"/>
    <w:bookmarkStart w:id="189" w:name="summary-self-assessment-table"/>
    <w:p>
      <w:pPr>
        <w:pStyle w:val="berschrift2"/>
      </w:pPr>
      <w:r>
        <w:t xml:space="preserve">Summary Self-Assessment Table</w:t>
      </w:r>
    </w:p>
    <w:bookmarkStart w:id="185"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85"/>
    <w:bookmarkStart w:id="18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pxl-lawama-sr</w:t>
            </w:r>
          </w:p>
        </w:tc>
        <w:tc>
          <w:tcPr/>
          <w:p>
            <w:pPr>
              <w:pStyle w:val="Compact"/>
            </w:pPr>
            <w:r>
              <w:t xml:space="preserve">Land/Water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bl>
    <w:bookmarkEnd w:id="186"/>
    <w:bookmarkStart w:id="187"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rac-dirats-sr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rac-wavap-sr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rac-cozone-sr</w:t>
            </w:r>
          </w:p>
        </w:tc>
        <w:tc>
          <w:tcPr/>
          <w:p>
            <w:pPr>
              <w:pStyle w:val="Compact"/>
            </w:pPr>
            <w:r>
              <w:t xml:space="preserve">Ozone Corrections</w:t>
            </w:r>
          </w:p>
        </w:tc>
        <w:tc>
          <w:tcPr/>
          <w:p>
            <w:pPr>
              <w:pStyle w:val="Compact"/>
              <w:jc w:val="center"/>
            </w:pPr>
            <w:r>
              <w:rPr>
                <w:i/>
                <w:iCs/>
              </w:rPr>
              <w:t xml:space="preserve">not required</w:t>
            </w:r>
          </w:p>
        </w:tc>
        <w:tc>
          <w:tcPr/>
          <w:p>
            <w:pPr>
              <w:pStyle w:val="Compact"/>
            </w:pPr>
          </w:p>
        </w:tc>
      </w:tr>
    </w:tbl>
    <w:bookmarkEnd w:id="187"/>
    <w:bookmarkStart w:id="18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188"/>
    <w:bookmarkEnd w:id="189"/>
    <w:bookmarkStart w:id="194"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9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90"/>
    <w:bookmarkStart w:id="19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0"/>
        </w:numPr>
      </w:pPr>
      <w:r>
        <w:t xml:space="preserve">that product has been assessed as meeting CEOS-ARD requirements by the agency responsible for production and distribution of the product, and</w:t>
      </w:r>
    </w:p>
    <w:p>
      <w:pPr>
        <w:pStyle w:val="Compact"/>
        <w:numPr>
          <w:ilvl w:val="0"/>
          <w:numId w:val="106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9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92"/>
    <w:bookmarkStart w:id="19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93"/>
    <w:bookmarkEnd w:id="194"/>
    <w:bookmarkStart w:id="199" w:name="references"/>
    <w:p>
      <w:pPr>
        <w:pStyle w:val="berschrift2"/>
      </w:pPr>
      <w:r>
        <w:t xml:space="preserve">References</w:t>
      </w:r>
    </w:p>
    <w:bookmarkStart w:id="198" w:name="refs"/>
    <w:bookmarkStart w:id="19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95"/>
    <w:bookmarkStart w:id="197" w:name="ref-li2012"/>
    <w:p>
      <w:pPr>
        <w:pStyle w:val="Literaturverzeichnis"/>
      </w:pPr>
      <w:r>
        <w:t xml:space="preserve">Li, Fuqin, David L. B. Jupp, Medhavy Thankappan, et al. 2012.</w:t>
      </w:r>
      <w:r>
        <w:t xml:space="preserve"> </w:t>
      </w:r>
      <w:r>
        <w:t xml:space="preserve">“A Physics-Based Atmospheric and BRDF Correction for Landsat Data over Mountainous Terrain.”</w:t>
      </w:r>
      <w:r>
        <w:t xml:space="preserve"> </w:t>
      </w:r>
      <w:r>
        <w:rPr>
          <w:i/>
          <w:iCs/>
        </w:rPr>
        <w:t xml:space="preserve">Remote Sensing of Environment</w:t>
      </w:r>
      <w:r>
        <w:t xml:space="preserve"> </w:t>
      </w:r>
      <w:r>
        <w:t xml:space="preserve">124: 756–70. https://doi.org/</w:t>
      </w:r>
      <w:hyperlink r:id="rId196">
        <w:r>
          <w:rPr>
            <w:rStyle w:val="Hyperlink"/>
          </w:rPr>
          <w:t xml:space="preserve">https://doi.org/10.1016/j.rse.2012.06.018</w:t>
        </w:r>
      </w:hyperlink>
      <w:r>
        <w:t xml:space="preserve">.</w:t>
      </w:r>
    </w:p>
    <w:bookmarkEnd w:id="197"/>
    <w:bookmarkEnd w:id="198"/>
    <w:bookmarkEnd w:id="199"/>
    <w:bookmarkEnd w:id="20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Reflectance - Version 5.0.2-draft</dc:title>
  <dc:creator/>
  <dc:language>en</dc:language>
  <cp:keywords/>
  <dcterms:created xsi:type="dcterms:W3CDTF">2026-07-29T17:32:09Z</dcterms:created>
  <dcterms:modified xsi:type="dcterms:W3CDTF">2026-07-29T17:32:09Z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