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08.jpg" ContentType="image/jpeg"/>
  <Override PartName="/word/media/rId30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14" w:name="X585353d8aec71e32101508c22c1e4e52b36bb22"/>
    <w:p>
      <w:pPr>
        <w:pStyle w:val="berschrift1"/>
      </w:pPr>
      <w:r>
        <w:t xml:space="preserve">CEOS-ARD - Synthetic Aperture Radar - Polarimetric Radar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Polarimetric Radar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w:t>
      </w:r>
      <w:r>
        <w:t xml:space="preserve"> </w:t>
      </w:r>
      <w:r>
        <w:t xml:space="preserve">“Backscatter Measurement”</w:t>
      </w:r>
      <w:r>
        <w:t xml:space="preserve">: Replaced</w:t>
      </w:r>
      <w:r>
        <w:t xml:space="preserve"> </w:t>
      </w:r>
      <w:r>
        <w:t xml:space="preserve">“and/or”</w:t>
      </w:r>
      <w:r>
        <w:t xml:space="preserve"> </w:t>
      </w:r>
      <w:r>
        <w:t xml:space="preserve">with</w:t>
      </w:r>
      <w:r>
        <w:t xml:space="preserve"> </w:t>
      </w:r>
      <w:r>
        <w:t xml:space="preserve">“one of the following types or both”</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Polarimetric Radar (POL)</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Polarimetric Radar (POL)</w:t>
      </w:r>
    </w:p>
    <w:p>
      <w:pPr>
        <w:pStyle w:val="Textkrper"/>
      </w:pPr>
      <w:r>
        <w:rPr>
          <w:b/>
          <w:bCs/>
        </w:rPr>
        <w:t xml:space="preserve">Version:</w:t>
      </w:r>
      <w:r>
        <w:t xml:space="preserve"> </w:t>
      </w:r>
      <w:r>
        <w:t xml:space="preserve">3.6.0-draft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Polarimetric Radar (POL) product format is an extension of the CEOS-ARD Normalised Radar Backscatter (NRB) format.</w:t>
      </w:r>
      <w:r>
        <w:t xml:space="preserve"> </w:t>
      </w:r>
      <w:r>
        <w:t xml:space="preserve">This extension is required in order to better support Level-1 SLC polarimetric data, including full-polarimetric modes (e.g., RADARSAT-2, ALOS-2/4, SAOCOM-1 and future missions), and hybrid or linear dual-polarimetric modes (i.e., Compact Polarimetric mode available on RCM, SAOCOM and the upcoming NISAR mission).The POL product can be defined in two processing levels:</w:t>
      </w:r>
    </w:p>
    <w:p>
      <w:pPr>
        <w:pStyle w:val="Textkrper"/>
      </w:pPr>
      <w:r>
        <w:t xml:space="preserve">The</w:t>
      </w:r>
      <w:r>
        <w:t xml:space="preserve"> </w:t>
      </w:r>
      <w:r>
        <w:rPr>
          <w:b/>
          <w:bCs/>
        </w:rPr>
        <w:t xml:space="preserve">normalised covariance matrix (CovMat)</w:t>
      </w:r>
      <w:r>
        <w:t xml:space="preserve"> </w:t>
      </w:r>
      <w:r>
        <w:t xml:space="preserve">representation (C2 or C3) which preserves the inter-channel polarimetric phase(s) and maximizes the available information for users.</w:t>
      </w:r>
      <w:r>
        <w:t xml:space="preserve"> </w:t>
      </w:r>
      <w:r>
        <w:t xml:space="preserve">Interoperability within current CEOS-ARD SAR backscatter definition is preserved, since diagonal elements of the covariance matrix are backscatter intensities.</w:t>
      </w:r>
      <w:r>
        <w:t xml:space="preserve"> </w:t>
      </w:r>
      <w:r>
        <w:t xml:space="preserve">Scattering information enhancement can be achieved by applying incoherent polarimetric decomposition techniques (e.g., Freeman-Durden, van Zyl, Cloude-Pottier, Yamaguchi-based) directly on the C2 or C3 matrix.</w:t>
      </w:r>
    </w:p>
    <w:p>
      <w:pPr>
        <w:pStyle w:val="Textkrper"/>
      </w:pPr>
      <w:r>
        <w:rPr>
          <w:b/>
          <w:bCs/>
        </w:rPr>
        <w:t xml:space="preserve">Polarimetric Radar Decomposition (PRD)</w:t>
      </w:r>
      <w:r>
        <w:t xml:space="preserve"> </w:t>
      </w:r>
      <w:r>
        <w:t xml:space="preserve">refers to ARD products where polarimetric information is broken down into simplified parameters to facilitate user interpretation of the data.</w:t>
      </w:r>
      <w:r>
        <w:t xml:space="preserve"> </w:t>
      </w:r>
      <w:r>
        <w:t xml:space="preserve">They are derived from coherent or incoherent polarimetric decomposition techniques.</w:t>
      </w:r>
    </w:p>
    <w:p>
      <w:pPr>
        <w:pStyle w:val="Textkrper"/>
      </w:pPr>
      <w:r>
        <w:rPr>
          <w:b/>
          <w:bCs/>
          <w:i/>
          <w:iCs/>
        </w:rPr>
        <w:t xml:space="preserve">Notice and Limitations:</w:t>
      </w:r>
    </w:p>
    <w:p>
      <w:pPr>
        <w:pStyle w:val="Textkrper"/>
      </w:pPr>
      <w:r>
        <w:t xml:space="preserve">For Polarimetric Radar (POL) products, optimal incoherent Polarimetric Radar Decomposition (PRD) should be performed under the slant range projection</w:t>
      </w:r>
      <w:r>
        <w:t xml:space="preserve"> </w:t>
      </w:r>
      <w:r>
        <w:t xml:space="preserve">(</w:t>
      </w:r>
      <w:hyperlink w:anchor="ref-gens2013">
        <w:r>
          <w:rPr>
            <w:rStyle w:val="Hyperlink"/>
          </w:rPr>
          <w:t xml:space="preserve">Gens et al. 2013</w:t>
        </w:r>
      </w:hyperlink>
      <w:r>
        <w:t xml:space="preserve">;</w:t>
      </w:r>
      <w:r>
        <w:t xml:space="preserve"> </w:t>
      </w:r>
      <w:hyperlink w:anchor="ref-toutin2013">
        <w:r>
          <w:rPr>
            <w:rStyle w:val="Hyperlink"/>
          </w:rPr>
          <w:t xml:space="preserve">Toutin et al. 2013</w:t>
        </w:r>
      </w:hyperlink>
      <w:r>
        <w:t xml:space="preserve">)</w:t>
      </w:r>
      <w:r>
        <w:t xml:space="preserve">.</w:t>
      </w:r>
      <w:r>
        <w:t xml:space="preserve"> </w:t>
      </w:r>
      <w:r>
        <w:t xml:space="preserve">In order to minimise bias in the CEOS-ARD SAR Level-2A covariance matrix product, speckle filtering and averaging of the covariance matrix should be applied in the slant range projection, and nearest neighbour method is recommended for resampling the data to the geocoded format.</w:t>
      </w:r>
      <w:r>
        <w:t xml:space="preserve"> </w:t>
      </w:r>
      <w:r>
        <w:t xml:space="preserve">Specifically, nearest-neighbour resampling ensures that the averaged covariance matrix elements in slant range and in geocoded ground projection are exactly the same.</w:t>
      </w:r>
      <w:r>
        <w:t xml:space="preserve"> </w:t>
      </w:r>
      <w:r>
        <w:t xml:space="preserve">Consequently, the polarimetrically derived parameters are exactly equal in both approaches (assuming that no further averaging is performed on the ARD product for decomposing the polarimetric information).</w:t>
      </w:r>
      <w:r>
        <w:t xml:space="preserve"> </w:t>
      </w:r>
      <w:r>
        <w:t xml:space="preserve">Bilinear and average resampling methods are also suitable for resampling the covariance matrix, but some differences with polarimetric parameters generated in slant range and then resampled (bilinear) might be observed on sloped terrains.</w:t>
      </w:r>
      <w:r>
        <w:t xml:space="preserve"> </w:t>
      </w:r>
      <w:r>
        <w:t xml:space="preserve">Even if Sinc interpolation may be more robust for spatial resampling, it does not preserve covariance matrix integrity, and should consequently not be used for this ARD product.</w:t>
      </w:r>
    </w:p>
    <w:p>
      <w:pPr>
        <w:pStyle w:val="Textkrper"/>
      </w:pPr>
      <w:r>
        <w:t xml:space="preserve">It is recommended that ARD providers who desire to distribute PRD products decompose the polarimetric information starting from Level-1 SLC data and then geocode the derived parameters rather than use the CovMat ARD product.</w:t>
      </w:r>
      <w:r>
        <w:t xml:space="preserve"> </w:t>
      </w:r>
      <w:r>
        <w:t xml:space="preserve">Resampling can be performed using any of the supported methods (nearest-neighbour, bilinear, average, bi-cubic spline or Lanczos are recommended), which need to be indicated in the product metadata.</w:t>
      </w:r>
      <w:r>
        <w:t xml:space="preserve"> </w:t>
      </w:r>
      <w:r>
        <w:t xml:space="preserve">Note that coherent decomposition techniques cannot be performed on CovMat ARD products.</w:t>
      </w:r>
    </w:p>
    <w:p>
      <w:pPr>
        <w:pStyle w:val="Textkrper"/>
      </w:pPr>
      <w:r>
        <w:t xml:space="preserve">Covariance matrix products contain a variable number of layers (or bands) with different data types depending on the polarimetric mode (full or dual) and decomposition technique.</w:t>
      </w:r>
      <w:r>
        <w:t xml:space="preserve"> </w:t>
      </w:r>
      <w:r>
        <w:t xml:space="preserve">The CovMat products for the C2 matrix have 3 layers (2 real-valued diagonal elements and 1 complex-valued off-diagonal element).</w:t>
      </w:r>
      <w:r>
        <w:t xml:space="preserve"> </w:t>
      </w:r>
      <w:r>
        <w:t xml:space="preserve">CovMat products for the C3 matrix have 6 layers (3 real-valued diagonal elements and 3 complex-valued off-diagonal elements).</w:t>
      </w:r>
      <w:r>
        <w:t xml:space="preserve"> </w:t>
      </w:r>
      <w:r>
        <w:t xml:space="preserve">Layers that can be obtained via a complex conjugation of other layers are not provided within the product.</w:t>
      </w:r>
      <w:r>
        <w:t xml:space="preserve"> </w:t>
      </w:r>
      <w:r>
        <w:t xml:space="preserve">Polarimetric Decomposition products contain typically 2 to 4 (or more) real-valued layers depending on the particular decomposition algorithm.</w:t>
      </w:r>
      <w:r>
        <w:t xml:space="preserve"> </w:t>
      </w:r>
      <w:r>
        <w:t xml:space="preserve">Within the CovMat product files, ARD layers are organized in order to reduce access delays and maximize efficiency in extracting the desired information.</w:t>
      </w:r>
      <w:r>
        <w:t xml:space="preserve"> </w:t>
      </w:r>
      <w:r>
        <w:t xml:space="preserve">In CovMat products, geographically contiguous samples for each layer may be stored next to each other and organized “layer by layer”.</w:t>
      </w:r>
      <w:r>
        <w:t xml:space="preserve"> </w:t>
      </w:r>
      <w:r>
        <w:t xml:space="preserve">Alternatively, samples belonging to the same covariance matrix might be stored next to each other and organized “matrix by matrix”.</w:t>
      </w:r>
      <w:r>
        <w:t xml:space="preserve"> </w:t>
      </w:r>
      <w:r>
        <w:t xml:space="preserve">PRD products are organized “layer by layer”, i.e., with bands corresponding to the output of the polarimetric decomposition stored next to each other.</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CovMat</w:t>
      </w:r>
    </w:p>
    <w:p>
      <w:pPr>
        <w:pStyle w:val="Definition"/>
      </w:pPr>
      <w:r>
        <w:t xml:space="preserve">Normalised Radar Covariance Matrix</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PRD</w:t>
      </w:r>
    </w:p>
    <w:p>
      <w:pPr>
        <w:pStyle w:val="Definition"/>
      </w:pPr>
      <w:r>
        <w:t xml:space="preserve">Polarimetric Radar Decomposition</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1"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po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prd-spekfil-pol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p>
      <w:pPr>
        <w:pStyle w:val="FirstParagraph"/>
      </w:pPr>
      <w:r>
        <w:t xml:space="preserve">Advanced polarimetric filter preserving covariance matrix properties shall be applied.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0" w:name="sec:prd-reorbit-nrb-pol"/>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prd-reorbit-nrb-pol</w:t>
      </w:r>
    </w:p>
    <w:p>
      <w:pPr>
        <w:pStyle w:val="Textkrper"/>
      </w:pPr>
      <w:r>
        <w:rPr>
          <w:b/>
          <w:bCs/>
        </w:rPr>
        <w:t xml:space="preserve">Usage:</w:t>
      </w:r>
      <w:r>
        <w:t xml:space="preserve"> </w:t>
      </w:r>
      <w:r>
        <w:t xml:space="preserve">Only when Flattened phase per-pixel metadata (see</w:t>
      </w:r>
      <w:r>
        <w:t xml:space="preserve"> </w:t>
      </w:r>
      <w:hyperlink w:anchor="sec:rcm-flapha">
        <w:r>
          <w:rPr>
            <w:rStyle w:val="Hyperlink"/>
          </w:rPr>
          <w:t xml:space="preserve">Radiometrically Corrected Measurements: Flattened Phase</w:t>
        </w:r>
      </w:hyperlink>
      <w:r>
        <w:t xml:space="preserve">) is provided.</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9"/>
    <w:bookmarkEnd w:id="160"/>
    <w:bookmarkEnd w:id="161"/>
    <w:bookmarkStart w:id="198"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5"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2"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2"/>
    <w:bookmarkStart w:id="163"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3"/>
    <w:bookmarkStart w:id="164" w:name="assessment-30"/>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64"/>
    <w:bookmarkEnd w:id="165"/>
    <w:bookmarkStart w:id="169"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6" w:name="threshold-requirements-31"/>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66"/>
    <w:bookmarkStart w:id="167"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7"/>
    <w:bookmarkStart w:id="168" w:name="assessment-31"/>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8"/>
    <w:bookmarkEnd w:id="169"/>
    <w:bookmarkStart w:id="173"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0" w:name="threshold-requirements-32"/>
    <w:p>
      <w:pPr>
        <w:pStyle w:val="berschrift5"/>
      </w:pPr>
      <w:r>
        <w:t xml:space="preserve">Threshold requirements:</w:t>
      </w:r>
    </w:p>
    <w:p>
      <w:pPr>
        <w:pStyle w:val="FirstParagraph"/>
      </w:pPr>
      <w:r>
        <w:t xml:space="preserve">Not required.</w:t>
      </w:r>
      <w:r>
        <w:t xml:space="preserve"> </w:t>
      </w:r>
    </w:p>
    <w:bookmarkEnd w:id="170"/>
    <w:bookmarkStart w:id="171"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6"/>
        </w:numPr>
      </w:pPr>
      <w:r>
        <w:t xml:space="preserve">Sample Type (Scattering Area)</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Notes:</w:t>
      </w:r>
    </w:p>
    <w:p>
      <w:pPr>
        <w:pStyle w:val="Compact"/>
        <w:numPr>
          <w:ilvl w:val="0"/>
          <w:numId w:val="1057"/>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7"/>
        </w:numPr>
      </w:pPr>
      <w:r>
        <w:t xml:space="preserve">Required for products such as NRB and POL if they are to be used as an input to production of composite backscatter (CB) when weighted averages based on the areas are used to generate composite backscatter.</w:t>
      </w:r>
    </w:p>
    <w:bookmarkEnd w:id="171"/>
    <w:bookmarkStart w:id="172" w:name="assessment-32"/>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72"/>
    <w:bookmarkEnd w:id="173"/>
    <w:bookmarkStart w:id="177"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4"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9"/>
        </w:numPr>
      </w:pPr>
      <w:r>
        <w:t xml:space="preserve">Sample Type (Angle)</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p>
      <w:pPr>
        <w:pStyle w:val="FirstParagraph"/>
      </w:pPr>
      <w:r>
        <w:t xml:space="preserve">Note:</w:t>
      </w:r>
    </w:p>
    <w:p>
      <w:pPr>
        <w:pStyle w:val="Compact"/>
        <w:numPr>
          <w:ilvl w:val="0"/>
          <w:numId w:val="1060"/>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w:t>
      </w:r>
      <w:r>
        <w:t xml:space="preserve"> </w:t>
      </w:r>
    </w:p>
    <w:bookmarkEnd w:id="175"/>
    <w:bookmarkStart w:id="176" w:name="assessment-33"/>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6"/>
    <w:bookmarkEnd w:id="177"/>
    <w:bookmarkStart w:id="181"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2"/>
        </w:numPr>
      </w:pPr>
      <w:r>
        <w:t xml:space="preserve">Sample Type (Angle)</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p>
      <w:pPr>
        <w:pStyle w:val="Compact"/>
        <w:numPr>
          <w:ilvl w:val="0"/>
          <w:numId w:val="1062"/>
        </w:numPr>
      </w:pPr>
      <w:r>
        <w:t xml:space="preserve">Reference Ellipsoid Name</w:t>
      </w:r>
    </w:p>
    <w:p>
      <w:pPr>
        <w:pStyle w:val="FirstParagraph"/>
      </w:pPr>
      <w:r>
        <w:t xml:space="preserve">Note:</w:t>
      </w:r>
    </w:p>
    <w:p>
      <w:pPr>
        <w:pStyle w:val="Compact"/>
        <w:numPr>
          <w:ilvl w:val="0"/>
          <w:numId w:val="1063"/>
        </w:numPr>
      </w:pPr>
      <w:r>
        <w:t xml:space="preserve">For CEOS-ARD products created from repeat-pass acquisitions, with narrow orbital tube radius, a single static per pixel metadata file can be provided as a URL address of that unique metadata file.</w:t>
      </w:r>
    </w:p>
    <w:bookmarkEnd w:id="179"/>
    <w:bookmarkStart w:id="180" w:name="assessment-34"/>
    <w:p>
      <w:pPr>
        <w:pStyle w:val="berschrift5"/>
      </w:pPr>
      <w:r>
        <w:t xml:space="preserve">Assessment:</w:t>
      </w:r>
    </w:p>
    <w:p>
      <w:pPr>
        <w:pStyle w:val="Compact"/>
        <w:numPr>
          <w:ilvl w:val="0"/>
          <w:numId w:val="1064"/>
        </w:numPr>
      </w:pPr>
      <w:r>
        <w:t xml:space="preserve">Threshold Self-Assessment:</w:t>
      </w:r>
    </w:p>
    <w:p>
      <w:pPr>
        <w:pStyle w:val="Compact"/>
        <w:numPr>
          <w:ilvl w:val="0"/>
          <w:numId w:val="1064"/>
        </w:numPr>
      </w:pPr>
      <w:r>
        <w:t xml:space="preserve">Goal Self-Assessment:</w:t>
      </w:r>
    </w:p>
    <w:p>
      <w:pPr>
        <w:pStyle w:val="Compact"/>
        <w:numPr>
          <w:ilvl w:val="0"/>
          <w:numId w:val="1064"/>
        </w:numPr>
      </w:pPr>
      <w:r>
        <w:t xml:space="preserve">Self-Assessment Explanation/ Justification:</w:t>
      </w:r>
    </w:p>
    <w:p>
      <w:pPr>
        <w:pStyle w:val="Compact"/>
        <w:numPr>
          <w:ilvl w:val="0"/>
          <w:numId w:val="1064"/>
        </w:numPr>
      </w:pPr>
      <w:r>
        <w:t xml:space="preserve">Recommended Requirement Modification:</w:t>
      </w:r>
    </w:p>
    <w:p>
      <w:r>
        <w:pict>
          <v:rect style="width:0;height:1.5pt" o:hralign="center" o:hrstd="t" o:hr="t"/>
        </w:pict>
      </w:r>
    </w:p>
    <w:bookmarkEnd w:id="180"/>
    <w:bookmarkEnd w:id="181"/>
    <w:bookmarkStart w:id="185"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5"/>
        </w:numPr>
      </w:pPr>
      <w:r>
        <w:t xml:space="preserve">Sample Type (Gamma-Nought, Sigma-Nought, Beta-Nought)</w:t>
      </w:r>
    </w:p>
    <w:p>
      <w:pPr>
        <w:pStyle w:val="Compact"/>
        <w:numPr>
          <w:ilvl w:val="0"/>
          <w:numId w:val="1065"/>
        </w:numPr>
      </w:pPr>
      <w:r>
        <w:t xml:space="preserve">Correction model type (Ellipsoid, Topography)</w:t>
      </w:r>
    </w:p>
    <w:p>
      <w:pPr>
        <w:pStyle w:val="Compact"/>
        <w:numPr>
          <w:ilvl w:val="0"/>
          <w:numId w:val="1065"/>
        </w:numPr>
      </w:pPr>
      <w:r>
        <w:t xml:space="preserve">Data Format (GeoTIFF, HDF5, NetCDF, …)</w:t>
      </w:r>
    </w:p>
    <w:p>
      <w:pPr>
        <w:pStyle w:val="Compact"/>
        <w:numPr>
          <w:ilvl w:val="0"/>
          <w:numId w:val="1065"/>
        </w:numPr>
      </w:pPr>
      <w:r>
        <w:t xml:space="preserve">Data Type (Int, Float, …)</w:t>
      </w:r>
    </w:p>
    <w:p>
      <w:pPr>
        <w:pStyle w:val="Compact"/>
        <w:numPr>
          <w:ilvl w:val="0"/>
          <w:numId w:val="1065"/>
        </w:numPr>
      </w:pPr>
      <w:r>
        <w:t xml:space="preserve">Bits per Sample</w:t>
      </w:r>
    </w:p>
    <w:p>
      <w:pPr>
        <w:pStyle w:val="Compact"/>
        <w:numPr>
          <w:ilvl w:val="0"/>
          <w:numId w:val="1065"/>
        </w:numPr>
      </w:pPr>
      <w:r>
        <w:t xml:space="preserve">Byte Order</w:t>
      </w:r>
    </w:p>
    <w:bookmarkEnd w:id="183"/>
    <w:bookmarkStart w:id="184" w:name="assessment-35"/>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4"/>
    <w:bookmarkEnd w:id="185"/>
    <w:bookmarkStart w:id="189"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86" w:name="threshold-requirements-36"/>
    <w:p>
      <w:pPr>
        <w:pStyle w:val="berschrift5"/>
      </w:pPr>
      <w:r>
        <w:t xml:space="preserve">Threshold requirements:</w:t>
      </w:r>
    </w:p>
    <w:p>
      <w:pPr>
        <w:pStyle w:val="FirstParagraph"/>
      </w:pPr>
      <w:r>
        <w:t xml:space="preserve">Not required.</w:t>
      </w:r>
      <w:r>
        <w:t xml:space="preserve"> </w:t>
      </w:r>
    </w:p>
    <w:bookmarkEnd w:id="186"/>
    <w:bookmarkStart w:id="187" w:name="goal-requirements-36"/>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7"/>
        </w:numPr>
      </w:pPr>
      <w:r>
        <w:t xml:space="preserve">Sample Type (Ratio)</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p>
      <w:pPr>
        <w:pStyle w:val="FirstParagraph"/>
      </w:pPr>
      <w:r>
        <w:t xml:space="preserve">Note:</w:t>
      </w:r>
    </w:p>
    <w:p>
      <w:pPr>
        <w:pStyle w:val="Compact"/>
        <w:numPr>
          <w:ilvl w:val="0"/>
          <w:numId w:val="1068"/>
        </w:numPr>
      </w:pPr>
      <w:r>
        <w:t xml:space="preserve">For CEOS-ARD products created from repeat-pass acquisitions, with narrow orbital tube radius, a single static per pixel metadata file can be provided as a URL address of that unique metadata file.</w:t>
      </w:r>
    </w:p>
    <w:bookmarkEnd w:id="187"/>
    <w:bookmarkStart w:id="188"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8"/>
    <w:bookmarkEnd w:id="189"/>
    <w:bookmarkStart w:id="193"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0" w:name="threshold-requirements-37"/>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0"/>
        </w:numPr>
      </w:pPr>
      <w:r>
        <w:t xml:space="preserve">Sample type (Day, Time, ID)</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bookmarkEnd w:id="190"/>
    <w:bookmarkStart w:id="191" w:name="goal-requirements-37"/>
    <w:p>
      <w:pPr>
        <w:pStyle w:val="berschrift5"/>
      </w:pPr>
      <w:r>
        <w:t xml:space="preserve">Goal requirements:</w:t>
      </w:r>
    </w:p>
    <w:p>
      <w:pPr>
        <w:pStyle w:val="FirstParagraph"/>
      </w:pPr>
      <w:r>
        <w:t xml:space="preserve">As threshold.</w:t>
      </w:r>
      <w:r>
        <w:t xml:space="preserve"> </w:t>
      </w:r>
    </w:p>
    <w:bookmarkEnd w:id="191"/>
    <w:bookmarkStart w:id="192"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2"/>
    <w:bookmarkEnd w:id="193"/>
    <w:bookmarkStart w:id="197"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2"/>
        </w:numPr>
      </w:pPr>
      <w:r>
        <w:t xml:space="preserve">Sample Type (Height)</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6"/>
    <w:bookmarkEnd w:id="197"/>
    <w:bookmarkEnd w:id="198"/>
    <w:bookmarkStart w:id="22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2" w:name="sec:rcm-backsca-pol"/>
    <w:p>
      <w:pPr>
        <w:pStyle w:val="berschrift4"/>
      </w:pPr>
      <w:r>
        <w:rPr>
          <w:rStyle w:val="VerbatimChar"/>
        </w:rPr>
        <w:t xml:space="preserve">5.1.</w:t>
      </w:r>
      <w:r>
        <w:t xml:space="preserve"> </w:t>
      </w:r>
      <w:r>
        <w:t xml:space="preserve">Backscatter Measurements (POL)</w:t>
      </w:r>
    </w:p>
    <w:p>
      <w:pPr>
        <w:pStyle w:val="FirstParagraph"/>
      </w:pPr>
      <w:r>
        <w:t xml:space="preserve">Identifier:</w:t>
      </w:r>
      <w:r>
        <w:t xml:space="preserve"> </w:t>
      </w:r>
      <w:r>
        <w:rPr>
          <w:rStyle w:val="VerbatimChar"/>
        </w:rPr>
        <w:t xml:space="preserve">rcm-backsca-pol</w:t>
      </w:r>
    </w:p>
    <w:bookmarkStart w:id="199" w:name="threshold-requirements-39"/>
    <w:p>
      <w:pPr>
        <w:pStyle w:val="berschrift5"/>
      </w:pPr>
      <w:r>
        <w:t xml:space="preserve">Threshold requirements:</w:t>
      </w:r>
    </w:p>
    <w:p>
      <w:pPr>
        <w:pStyle w:val="FirstParagraph"/>
      </w:pPr>
      <w:r>
        <w:t xml:space="preserve">Measurements can be one of the following types or both:</w:t>
      </w:r>
    </w:p>
    <w:p>
      <w:pPr>
        <w:pStyle w:val="Compact"/>
        <w:numPr>
          <w:ilvl w:val="0"/>
          <w:numId w:val="1075"/>
        </w:numPr>
      </w:pPr>
      <w:r>
        <w:rPr>
          <w:b/>
          <w:bCs/>
        </w:rPr>
        <w:t xml:space="preserve">Normalised Radar Covariance Matrix (CovMat)</w:t>
      </w:r>
      <w:r>
        <w:t xml:space="preserve"> </w:t>
      </w:r>
      <w:r>
        <w:t xml:space="preserve">Diagonal (equivalent to NRB) and upper diagonal elements of the terrain-flattened Gamma-Nought (</w:t>
      </w:r>
      <m:oMath>
        <m:sSubSup>
          <m:e>
            <m:r>
              <m:t>γ</m:t>
            </m:r>
          </m:e>
          <m:sub>
            <m:r>
              <m:t>T</m:t>
            </m:r>
          </m:sub>
          <m:sup>
            <m:r>
              <m:t>0</m:t>
            </m:r>
          </m:sup>
        </m:sSubSup>
      </m:oMath>
      <w:r>
        <w:t xml:space="preserve">) Covariance Matrix are provided for coherent dual (e.g., HH-HV, VV-VH, or …) and fully polarimetric (e.g., HH-HV-VH-VV) acquisitions.</w:t>
      </w:r>
    </w:p>
    <w:p>
      <w:pPr>
        <w:pStyle w:val="Compact"/>
        <w:numPr>
          <w:ilvl w:val="0"/>
          <w:numId w:val="1075"/>
        </w:numPr>
      </w:pPr>
      <w:r>
        <w:rPr>
          <w:b/>
          <w:bCs/>
        </w:rPr>
        <w:t xml:space="preserve">Polarimetric Radar Decomposition (PRD)</w:t>
      </w:r>
      <w:r>
        <w:t xml:space="preserve"> </w:t>
      </w:r>
      <w:r>
        <w:t xml:space="preserve">The individual components of the polarimetric decomposition obtained from the terrain-flattened (Gamma-Nought,</w:t>
      </w:r>
      <w:r>
        <w:t xml:space="preserve"> </w:t>
      </w:r>
      <m:oMath>
        <m:sSubSup>
          <m:e>
            <m:r>
              <m:t>γ</m:t>
            </m:r>
          </m:e>
          <m:sub>
            <m:r>
              <m:t>T</m:t>
            </m:r>
          </m:sub>
          <m:sup>
            <m:r>
              <m:t>0</m:t>
            </m:r>
          </m:sup>
        </m:sSubSup>
      </m:oMath>
      <w:r>
        <w:t xml:space="preserve">) covariance matrix.</w:t>
      </w:r>
    </w:p>
    <w:p>
      <w:pPr>
        <w:pStyle w:val="FirstParagraph"/>
      </w:pPr>
      <w:r>
        <w:t xml:space="preserve">File format specifications/contents provided in metadata:</w:t>
      </w:r>
    </w:p>
    <w:p>
      <w:pPr>
        <w:pStyle w:val="Compact"/>
        <w:numPr>
          <w:ilvl w:val="0"/>
          <w:numId w:val="1076"/>
        </w:numPr>
      </w:pPr>
      <w:r>
        <w:t xml:space="preserve">Measurement Type (CovMat, PRD)</w:t>
      </w:r>
    </w:p>
    <w:p>
      <w:pPr>
        <w:pStyle w:val="Compact"/>
        <w:numPr>
          <w:ilvl w:val="0"/>
          <w:numId w:val="1076"/>
        </w:numPr>
      </w:pPr>
      <w:r>
        <w:t xml:space="preserve">Measurement convention unit (linear amplitude, or linear power [see notes], or phase angle)</w:t>
      </w:r>
    </w:p>
    <w:p>
      <w:pPr>
        <w:pStyle w:val="Compact"/>
        <w:numPr>
          <w:ilvl w:val="0"/>
          <w:numId w:val="1076"/>
        </w:numPr>
      </w:pPr>
      <w:r>
        <w:t xml:space="preserve">Individual covariance matrix element or/and Individual component of the decomposition (C3m11, C3m12, …, or H, A, alpha, or …)</w:t>
      </w:r>
    </w:p>
    <w:p>
      <w:pPr>
        <w:pStyle w:val="Compact"/>
        <w:numPr>
          <w:ilvl w:val="0"/>
          <w:numId w:val="1076"/>
        </w:numPr>
      </w:pPr>
      <w:r>
        <w:t xml:space="preserve">Data Format (GeoTIFF, HDF5, NetCDF, …)</w:t>
      </w:r>
    </w:p>
    <w:p>
      <w:pPr>
        <w:pStyle w:val="Compact"/>
        <w:numPr>
          <w:ilvl w:val="0"/>
          <w:numId w:val="1076"/>
        </w:numPr>
      </w:pPr>
      <w:r>
        <w:t xml:space="preserve">Data Type (Int, Float, Complex, …)</w:t>
      </w:r>
    </w:p>
    <w:p>
      <w:pPr>
        <w:pStyle w:val="Compact"/>
        <w:numPr>
          <w:ilvl w:val="0"/>
          <w:numId w:val="1076"/>
        </w:numPr>
      </w:pPr>
      <w:r>
        <w:t xml:space="preserve">Bits per Sample</w:t>
      </w:r>
    </w:p>
    <w:p>
      <w:pPr>
        <w:pStyle w:val="Compact"/>
        <w:numPr>
          <w:ilvl w:val="0"/>
          <w:numId w:val="1076"/>
        </w:numPr>
      </w:pPr>
      <w:r>
        <w:t xml:space="preserve">Byte Order</w:t>
      </w:r>
    </w:p>
    <w:p>
      <w:pPr>
        <w:pStyle w:val="FirstParagraph"/>
      </w:pPr>
      <w:r>
        <w:t xml:space="preserve">Notes:</w:t>
      </w:r>
    </w:p>
    <w:p>
      <w:pPr>
        <w:pStyle w:val="Compact"/>
        <w:numPr>
          <w:ilvl w:val="0"/>
          <w:numId w:val="1077"/>
        </w:numPr>
      </w:pPr>
      <w:r>
        <w:t xml:space="preserve">Transformation to the logarithm decibel scale is not required or desired as this step can be completed by the user if necessary.</w:t>
      </w:r>
    </w:p>
    <w:p>
      <w:pPr>
        <w:pStyle w:val="Compact"/>
        <w:numPr>
          <w:ilvl w:val="0"/>
          <w:numId w:val="1077"/>
        </w:numPr>
      </w:pPr>
      <w:r>
        <w:t xml:space="preserve">It is recommended to keep CovMat or PRD measurement files separated. Else, specify the multi-channel format order [BIP, BIL, BSQ].</w:t>
      </w:r>
    </w:p>
    <w:bookmarkEnd w:id="199"/>
    <w:bookmarkStart w:id="200" w:name="goal-requirements-39"/>
    <w:p>
      <w:pPr>
        <w:pStyle w:val="berschrift5"/>
      </w:pPr>
      <w:r>
        <w:t xml:space="preserve">Goal requirements:</w:t>
      </w:r>
    </w:p>
    <w:p>
      <w:pPr>
        <w:pStyle w:val="FirstParagraph"/>
      </w:pPr>
      <w:r>
        <w:t xml:space="preserve">As threshold.</w:t>
      </w:r>
      <w:r>
        <w:t xml:space="preserve"> </w:t>
      </w:r>
    </w:p>
    <w:bookmarkEnd w:id="200"/>
    <w:bookmarkStart w:id="201" w:name="assessment-39"/>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1"/>
    <w:bookmarkEnd w:id="202"/>
    <w:bookmarkStart w:id="206"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3"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3"/>
    <w:bookmarkStart w:id="204" w:name="goal-requirements-40"/>
    <w:p>
      <w:pPr>
        <w:pStyle w:val="berschrift5"/>
      </w:pPr>
      <w:r>
        <w:t xml:space="preserve">Goal requirements:</w:t>
      </w:r>
    </w:p>
    <w:p>
      <w:pPr>
        <w:pStyle w:val="FirstParagraph"/>
      </w:pPr>
      <w:r>
        <w:t xml:space="preserve">As threshold, but use of float32.</w:t>
      </w:r>
    </w:p>
    <w:bookmarkEnd w:id="204"/>
    <w:bookmarkStart w:id="205" w:name="assessment-40"/>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5"/>
    <w:bookmarkEnd w:id="206"/>
    <w:bookmarkStart w:id="210"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7"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80"/>
        </w:numPr>
      </w:pPr>
      <w:r>
        <w:t xml:space="preserve">Thermal noise removal and image border noise removal to remove overall scene noise and scene edge artefacts, respectively.</w:t>
      </w:r>
    </w:p>
    <w:bookmarkEnd w:id="207"/>
    <w:bookmarkStart w:id="208" w:name="goal-requirements-41"/>
    <w:p>
      <w:pPr>
        <w:pStyle w:val="berschrift5"/>
      </w:pPr>
      <w:r>
        <w:t xml:space="preserve">Goal requirements:</w:t>
      </w:r>
    </w:p>
    <w:p>
      <w:pPr>
        <w:pStyle w:val="FirstParagraph"/>
      </w:pPr>
      <w:r>
        <w:t xml:space="preserve">As threshold.</w:t>
      </w:r>
      <w:r>
        <w:t xml:space="preserve"> </w:t>
      </w:r>
    </w:p>
    <w:bookmarkEnd w:id="208"/>
    <w:bookmarkStart w:id="209" w:name="assessment-41"/>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09"/>
    <w:bookmarkEnd w:id="210"/>
    <w:bookmarkStart w:id="214"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211" w:name="threshold-requirements-42"/>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82"/>
        </w:numPr>
      </w:pPr>
      <w:r>
        <w:t xml:space="preserve">a citable peer-reviewed algorithm</w:t>
      </w:r>
    </w:p>
    <w:p>
      <w:pPr>
        <w:pStyle w:val="Compact"/>
        <w:numPr>
          <w:ilvl w:val="0"/>
          <w:numId w:val="1082"/>
        </w:numPr>
      </w:pPr>
      <w:r>
        <w:t xml:space="preserve">technical documentation regarding the algorithm used to generate the backscatter estimates is expressed as URLs or DOIs</w:t>
      </w:r>
    </w:p>
    <w:p>
      <w:pPr>
        <w:pStyle w:val="Compact"/>
        <w:numPr>
          <w:ilvl w:val="0"/>
          <w:numId w:val="1082"/>
        </w:numPr>
      </w:pPr>
      <w:r>
        <w:t xml:space="preserve">the sources of auxiliary data used to make corrections</w:t>
      </w:r>
    </w:p>
    <w:p>
      <w:pPr>
        <w:pStyle w:val="FirstParagraph"/>
      </w:pPr>
      <w:r>
        <w:t xml:space="preserve">Note:</w:t>
      </w:r>
    </w:p>
    <w:p>
      <w:pPr>
        <w:pStyle w:val="Compact"/>
        <w:numPr>
          <w:ilvl w:val="0"/>
          <w:numId w:val="1083"/>
        </w:numPr>
      </w:pPr>
      <w:r>
        <w:t xml:space="preserve">Examples of technical documentation include an Algorithm, Theoretical Basis Document, product user guide, etc.</w:t>
      </w:r>
    </w:p>
    <w:bookmarkEnd w:id="211"/>
    <w:bookmarkStart w:id="212" w:name="goal-requirements-42"/>
    <w:p>
      <w:pPr>
        <w:pStyle w:val="berschrift5"/>
      </w:pPr>
      <w:r>
        <w:t xml:space="preserve">Goal requirements:</w:t>
      </w:r>
    </w:p>
    <w:p>
      <w:pPr>
        <w:pStyle w:val="FirstParagraph"/>
      </w:pPr>
      <w:r>
        <w:t xml:space="preserve">As threshold.</w:t>
      </w:r>
      <w:r>
        <w:t xml:space="preserve"> </w:t>
      </w:r>
    </w:p>
    <w:bookmarkEnd w:id="212"/>
    <w:bookmarkStart w:id="213" w:name="assessment-42"/>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3"/>
    <w:bookmarkEnd w:id="214"/>
    <w:bookmarkStart w:id="218"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5" w:name="threshold-requirements-43"/>
    <w:p>
      <w:pPr>
        <w:pStyle w:val="berschrift5"/>
      </w:pPr>
      <w:r>
        <w:t xml:space="preserve">Threshold requirements:</w:t>
      </w:r>
    </w:p>
    <w:p>
      <w:pPr>
        <w:pStyle w:val="FirstParagraph"/>
      </w:pPr>
      <w:r>
        <w:t xml:space="preserve">Not required.</w:t>
      </w:r>
      <w:r>
        <w:t xml:space="preserve"> </w:t>
      </w:r>
    </w:p>
    <w:bookmarkEnd w:id="215"/>
    <w:bookmarkStart w:id="216" w:name="goal-requirements-43"/>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6"/>
    <w:bookmarkStart w:id="217" w:name="assessment-43"/>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17"/>
    <w:bookmarkEnd w:id="218"/>
    <w:bookmarkStart w:id="222" w:name="sec:rcm-flapha"/>
    <w:p>
      <w:pPr>
        <w:pStyle w:val="berschrift4"/>
      </w:pPr>
      <w:r>
        <w:rPr>
          <w:rStyle w:val="VerbatimChar"/>
        </w:rPr>
        <w:t xml:space="preserve">5.6.</w:t>
      </w:r>
      <w:r>
        <w:t xml:space="preserve"> </w:t>
      </w:r>
      <w:r>
        <w:t xml:space="preserve">Flattened Phase</w:t>
      </w:r>
    </w:p>
    <w:p>
      <w:pPr>
        <w:pStyle w:val="FirstParagraph"/>
      </w:pPr>
      <w:r>
        <w:t xml:space="preserve">Identifier:</w:t>
      </w:r>
      <w:r>
        <w:t xml:space="preserve"> </w:t>
      </w:r>
      <w:r>
        <w:rPr>
          <w:rStyle w:val="VerbatimChar"/>
        </w:rPr>
        <w:t xml:space="preserve">rcm-flapha</w:t>
      </w:r>
    </w:p>
    <w:p>
      <w:pPr>
        <w:pStyle w:val="Textkrper"/>
      </w:pPr>
      <w:r>
        <w:rPr>
          <w:b/>
          <w:bCs/>
        </w:rPr>
        <w:t xml:space="preserve">Usage:</w:t>
      </w:r>
      <w:r>
        <w:t xml:space="preserve"> </w:t>
      </w:r>
      <w:r>
        <w:t xml:space="preserve">Alternative to GSLC product for NRB and POL products</w:t>
      </w:r>
    </w:p>
    <w:bookmarkStart w:id="219" w:name="threshold-requirements-44"/>
    <w:p>
      <w:pPr>
        <w:pStyle w:val="berschrift5"/>
      </w:pPr>
      <w:r>
        <w:t xml:space="preserve">Threshold requirements:</w:t>
      </w:r>
    </w:p>
    <w:p>
      <w:pPr>
        <w:pStyle w:val="FirstParagraph"/>
      </w:pPr>
      <w:r>
        <w:t xml:space="preserve">Not required.</w:t>
      </w:r>
      <w:r>
        <w:t xml:space="preserve"> </w:t>
      </w:r>
    </w:p>
    <w:bookmarkEnd w:id="219"/>
    <w:bookmarkStart w:id="220" w:name="goal-requirements-44"/>
    <w:p>
      <w:pPr>
        <w:pStyle w:val="berschrift5"/>
      </w:pPr>
      <w:r>
        <w:t xml:space="preserve">Goal requirements:</w:t>
      </w:r>
    </w:p>
    <w:p>
      <w:pPr>
        <w:pStyle w:val="FirstParagraph"/>
      </w:pPr>
      <w:r>
        <w:t xml:space="preserve">The Flattened Phase is the interferometric phase for which the topographic phase contribution is removed.</w:t>
      </w:r>
      <w:r>
        <w:t xml:space="preserve"> </w:t>
      </w:r>
      <w:r>
        <w:t xml:space="preserve">It is derived from the range-Doppler SLC product using a DEM and the orbital state vectors with respect to a reference orbit (see annex</w:t>
      </w:r>
      <w:r>
        <w:t xml:space="preserve"> </w:t>
      </w:r>
      <w:r>
        <w:t xml:space="preserve">“Topographic phase removal”</w:t>
      </w:r>
      <w:r>
        <w:t xml:space="preserve"> </w:t>
      </w:r>
      <w:r>
        <w:t xml:space="preserve">in the applicable PFS).</w:t>
      </w:r>
      <w:r>
        <w:t xml:space="preserve"> </w:t>
      </w:r>
      <w:r>
        <w:t xml:space="preserve">The use of the Flattened Phase with the NRB or POL intensity (</w:t>
      </w:r>
      <w:hyperlink w:anchor="sec:rcm">
        <w:r>
          <w:rPr>
            <w:rStyle w:val="Hyperlink"/>
          </w:rPr>
          <w:t xml:space="preserve">Radiometrically Corrected Measurements</w:t>
        </w:r>
      </w:hyperlink>
      <w:r>
        <w:t xml:space="preserve">) provides the GSLC equivalent, as follows:</w:t>
      </w:r>
    </w:p>
    <w:p>
      <w:pPr>
        <w:pStyle w:val="Textkrper"/>
      </w:pPr>
      <m:oMathPara>
        <m:oMathParaPr>
          <m:jc m:val="center"/>
        </m:oMathParaPr>
        <m:oMath>
          <m:r>
            <m:rPr>
              <m:nor/>
              <m:sty m:val="p"/>
            </m:rPr>
            <m:t>GSLC</m:t>
          </m:r>
          <m:r>
            <m:rPr>
              <m:sty m:val="p"/>
            </m:rPr>
            <m:t>=</m:t>
          </m:r>
          <m:rad>
            <m:radPr>
              <m:degHide m:val="on"/>
            </m:radPr>
            <m:deg/>
            <m:e>
              <m:r>
                <m:t>N</m:t>
              </m:r>
              <m:r>
                <m:t>R</m:t>
              </m:r>
              <m:r>
                <m:t>B</m:t>
              </m:r>
            </m:e>
          </m:rad>
          <m:r>
            <m:rPr>
              <m:sty m:val="p"/>
            </m:rPr>
            <m:t>×</m:t>
          </m:r>
          <m:r>
            <m:rPr>
              <m:sty m:val="p"/>
            </m:rPr>
            <m:t>exp</m:t>
          </m:r>
          <m:r>
            <m:rPr>
              <m:sty m:val="p"/>
            </m:rPr>
            <m:t>(</m:t>
          </m:r>
          <m:r>
            <m:t>j</m:t>
          </m:r>
          <m:r>
            <m:rPr>
              <m:sty m:val="p"/>
            </m:rPr>
            <m:t>⋅</m:t>
          </m:r>
          <m:r>
            <m:rPr>
              <m:nor/>
              <m:sty m:val="p"/>
            </m:rPr>
            <m:t>FlattenPhase</m:t>
          </m:r>
          <m:r>
            <m:rPr>
              <m:sty m:val="p"/>
            </m:rPr>
            <m:t>)</m:t>
          </m:r>
        </m:oMath>
      </m:oMathPara>
    </w:p>
    <w:p>
      <w:pPr>
        <w:pStyle w:val="FirstParagraph"/>
      </w:pPr>
      <w:r>
        <w:t xml:space="preserve">File format specifications/contents provided in metadata:</w:t>
      </w:r>
    </w:p>
    <w:p>
      <w:pPr>
        <w:pStyle w:val="Compact"/>
        <w:numPr>
          <w:ilvl w:val="0"/>
          <w:numId w:val="1086"/>
        </w:numPr>
      </w:pPr>
      <w:r>
        <w:t xml:space="preserve">Measurement Type (Flattened Phase)</w:t>
      </w:r>
    </w:p>
    <w:p>
      <w:pPr>
        <w:pStyle w:val="Compact"/>
        <w:numPr>
          <w:ilvl w:val="0"/>
          <w:numId w:val="1086"/>
        </w:numPr>
      </w:pPr>
      <w:r>
        <w:t xml:space="preserve">Reference Polarization (HH/HV/VV/VH)</w:t>
      </w:r>
    </w:p>
    <w:p>
      <w:pPr>
        <w:pStyle w:val="Compact"/>
        <w:numPr>
          <w:ilvl w:val="0"/>
          <w:numId w:val="1086"/>
        </w:numPr>
      </w:pPr>
      <w:r>
        <w:t xml:space="preserve">Data Format (GeoTIFF, HDF5, NetCDF, …)</w:t>
      </w:r>
    </w:p>
    <w:p>
      <w:pPr>
        <w:pStyle w:val="Compact"/>
        <w:numPr>
          <w:ilvl w:val="0"/>
          <w:numId w:val="1086"/>
        </w:numPr>
      </w:pPr>
      <w:r>
        <w:t xml:space="preserve">Data Type (Int, Float, …)</w:t>
      </w:r>
    </w:p>
    <w:p>
      <w:pPr>
        <w:pStyle w:val="Compact"/>
        <w:numPr>
          <w:ilvl w:val="0"/>
          <w:numId w:val="1086"/>
        </w:numPr>
      </w:pPr>
      <w:r>
        <w:t xml:space="preserve">Bits per Sample</w:t>
      </w:r>
    </w:p>
    <w:p>
      <w:pPr>
        <w:pStyle w:val="Compact"/>
        <w:numPr>
          <w:ilvl w:val="0"/>
          <w:numId w:val="1086"/>
        </w:numPr>
      </w:pPr>
      <w:r>
        <w:t xml:space="preserve">Byte Order</w:t>
      </w:r>
    </w:p>
    <w:p>
      <w:pPr>
        <w:pStyle w:val="FirstParagraph"/>
      </w:pPr>
      <w:r>
        <w:t xml:space="preserve">In case of polarimetric data, indicate the reference polarization.</w:t>
      </w:r>
    </w:p>
    <w:bookmarkEnd w:id="220"/>
    <w:bookmarkStart w:id="221" w:name="assessment-44"/>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bookmarkEnd w:id="221"/>
    <w:bookmarkEnd w:id="222"/>
    <w:bookmarkEnd w:id="223"/>
    <w:bookmarkStart w:id="24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4" w:name="threshold-requirements-45"/>
    <w:p>
      <w:pPr>
        <w:pStyle w:val="berschrift5"/>
      </w:pPr>
      <w:r>
        <w:t xml:space="preserve">Threshold requirements:</w:t>
      </w:r>
    </w:p>
    <w:p>
      <w:pPr>
        <w:pStyle w:val="FirstParagraph"/>
      </w:pPr>
      <w:r>
        <w:t xml:space="preserve">Not required.</w:t>
      </w:r>
      <w:r>
        <w:t xml:space="preserve"> </w:t>
      </w:r>
    </w:p>
    <w:bookmarkEnd w:id="224"/>
    <w:bookmarkStart w:id="225" w:name="goal-requirements-45"/>
    <w:p>
      <w:pPr>
        <w:pStyle w:val="berschrift5"/>
      </w:pPr>
      <w:r>
        <w:t xml:space="preserve">Goal requirements:</w:t>
      </w:r>
    </w:p>
    <w:p>
      <w:pPr>
        <w:pStyle w:val="FirstParagraph"/>
      </w:pPr>
      <w:r>
        <w:t xml:space="preserve">Metadata references, e.g.:</w:t>
      </w:r>
    </w:p>
    <w:p>
      <w:pPr>
        <w:pStyle w:val="Compact"/>
        <w:numPr>
          <w:ilvl w:val="0"/>
          <w:numId w:val="1088"/>
        </w:numPr>
      </w:pPr>
      <w:r>
        <w:t xml:space="preserve">A metadata citable peer-reviewed algorithm</w:t>
      </w:r>
    </w:p>
    <w:p>
      <w:pPr>
        <w:pStyle w:val="Compact"/>
        <w:numPr>
          <w:ilvl w:val="0"/>
          <w:numId w:val="1088"/>
        </w:numPr>
      </w:pPr>
      <w:r>
        <w:t xml:space="preserve">Technical documentation regarding the implementation of that algorithm expressed as URLs or DOIs</w:t>
      </w:r>
    </w:p>
    <w:p>
      <w:pPr>
        <w:pStyle w:val="Compact"/>
        <w:numPr>
          <w:ilvl w:val="0"/>
          <w:numId w:val="1088"/>
        </w:numPr>
      </w:pPr>
      <w:r>
        <w:t xml:space="preserve">The sources of auxiliary data used to make corrections</w:t>
      </w:r>
    </w:p>
    <w:p>
      <w:pPr>
        <w:pStyle w:val="Compact"/>
        <w:numPr>
          <w:ilvl w:val="0"/>
          <w:numId w:val="1088"/>
        </w:numPr>
      </w:pPr>
      <w:r>
        <w:t xml:space="preserve">Resampling method used for geometric processing of the source data</w:t>
      </w:r>
    </w:p>
    <w:p>
      <w:pPr>
        <w:pStyle w:val="FirstParagraph"/>
      </w:pPr>
      <w:r>
        <w:t xml:space="preserve">Note:</w:t>
      </w:r>
    </w:p>
    <w:p>
      <w:pPr>
        <w:pStyle w:val="Compact"/>
        <w:numPr>
          <w:ilvl w:val="0"/>
          <w:numId w:val="1089"/>
        </w:numPr>
      </w:pPr>
      <w:r>
        <w:t xml:space="preserve">Examples of technical documentation can include e.g., an Algorithm Theoretical Basis Document (ATBD), or a product user guide.</w:t>
      </w:r>
    </w:p>
    <w:bookmarkEnd w:id="225"/>
    <w:bookmarkStart w:id="226" w:name="assessment-45"/>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26"/>
    <w:bookmarkEnd w:id="227"/>
    <w:bookmarkStart w:id="23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8" w:name="threshold-requirements-46"/>
    <w:p>
      <w:pPr>
        <w:pStyle w:val="berschrift5"/>
      </w:pPr>
      <w:r>
        <w:t xml:space="preserve">Threshold requirements:</w:t>
      </w:r>
    </w:p>
    <w:p>
      <w:pPr>
        <w:pStyle w:val="Compact"/>
        <w:numPr>
          <w:ilvl w:val="0"/>
          <w:numId w:val="1091"/>
        </w:numPr>
      </w:pPr>
      <w:r>
        <w:t xml:space="preserve">During ortho-rectification, the data provider shall use the same DEM that was used for the radiometric terrain flattening to ensure consistency of the data stack.</w:t>
      </w:r>
    </w:p>
    <w:p>
      <w:pPr>
        <w:pStyle w:val="Compact"/>
        <w:numPr>
          <w:ilvl w:val="0"/>
          <w:numId w:val="1091"/>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91"/>
        </w:numPr>
      </w:pPr>
      <w:r>
        <w:t xml:space="preserve">Provide reference to Earth Gravitational Model (EGM) if used for geometric correction. For mosaic or composite products, specify the EGM used for each input data source, if different.</w:t>
      </w:r>
    </w:p>
    <w:bookmarkEnd w:id="228"/>
    <w:bookmarkStart w:id="229" w:name="goal-requirements-46"/>
    <w:p>
      <w:pPr>
        <w:pStyle w:val="berschrift5"/>
      </w:pPr>
      <w:r>
        <w:t xml:space="preserve">Goal requirements:</w:t>
      </w:r>
    </w:p>
    <w:p>
      <w:pPr>
        <w:pStyle w:val="Compact"/>
        <w:numPr>
          <w:ilvl w:val="0"/>
          <w:numId w:val="1092"/>
        </w:numPr>
      </w:pPr>
      <w:r>
        <w:t xml:space="preserve">A DEM with comparable or better resolution to the resolution of the output CEOS-ARD product shall be used if available. Else, the upsampled DEM is identified.</w:t>
      </w:r>
    </w:p>
    <w:p>
      <w:pPr>
        <w:pStyle w:val="Compact"/>
        <w:numPr>
          <w:ilvl w:val="0"/>
          <w:numId w:val="1092"/>
        </w:numPr>
      </w:pPr>
      <w:r>
        <w:t xml:space="preserve">Resampling method used for preparation of the DEM.</w:t>
      </w:r>
    </w:p>
    <w:p>
      <w:pPr>
        <w:pStyle w:val="Compact"/>
        <w:numPr>
          <w:ilvl w:val="0"/>
          <w:numId w:val="1092"/>
        </w:numPr>
      </w:pPr>
      <w:r>
        <w:t xml:space="preserve">Method used for resampling the EGM.</w:t>
      </w:r>
    </w:p>
    <w:bookmarkEnd w:id="229"/>
    <w:bookmarkStart w:id="230" w:name="assessment-46"/>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30"/>
    <w:bookmarkEnd w:id="231"/>
    <w:bookmarkStart w:id="23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32" w:name="threshold-requirements-4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4"/>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4"/>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4"/>
        </w:numPr>
      </w:pPr>
      <w:r>
        <w:t xml:space="preserve">For new SAR missions, as long as calibration/validation reports are not available, values can be set to NaN and provide a DOI or URL link to pre-launch mission specification document.</w:t>
      </w:r>
    </w:p>
    <w:bookmarkEnd w:id="232"/>
    <w:bookmarkStart w:id="233" w:name="goal-requirements-4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3"/>
    <w:bookmarkStart w:id="234" w:name="assessment-47"/>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4"/>
    <w:bookmarkEnd w:id="235"/>
    <w:bookmarkStart w:id="23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6" w:name="threshold-requirements-48"/>
    <w:p>
      <w:pPr>
        <w:pStyle w:val="berschrift5"/>
      </w:pPr>
      <w:r>
        <w:t xml:space="preserve">Threshold requirements:</w:t>
      </w:r>
    </w:p>
    <w:p>
      <w:pPr>
        <w:pStyle w:val="FirstParagraph"/>
      </w:pPr>
      <w:r>
        <w:t xml:space="preserve">Not required.</w:t>
      </w:r>
      <w:r>
        <w:t xml:space="preserve"> </w:t>
      </w:r>
    </w:p>
    <w:bookmarkEnd w:id="236"/>
    <w:bookmarkStart w:id="237" w:name="goal-requirements-4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7"/>
    <w:bookmarkStart w:id="238" w:name="assessment-48"/>
    <w:p>
      <w:pPr>
        <w:pStyle w:val="berschrift5"/>
      </w:pPr>
      <w:r>
        <w:t xml:space="preserve">Assessment:</w:t>
      </w:r>
    </w:p>
    <w:p>
      <w:pPr>
        <w:pStyle w:val="Compact"/>
        <w:numPr>
          <w:ilvl w:val="0"/>
          <w:numId w:val="1096"/>
        </w:numPr>
      </w:pPr>
      <w:r>
        <w:t xml:space="preserve">Threshold Self-Assessment:</w:t>
      </w:r>
    </w:p>
    <w:p>
      <w:pPr>
        <w:pStyle w:val="Compact"/>
        <w:numPr>
          <w:ilvl w:val="0"/>
          <w:numId w:val="1096"/>
        </w:numPr>
      </w:pPr>
      <w:r>
        <w:t xml:space="preserve">Goal Self-Assessment:</w:t>
      </w:r>
    </w:p>
    <w:p>
      <w:pPr>
        <w:pStyle w:val="Compact"/>
        <w:numPr>
          <w:ilvl w:val="0"/>
          <w:numId w:val="1096"/>
        </w:numPr>
      </w:pPr>
      <w:r>
        <w:t xml:space="preserve">Self-Assessment Explanation/ Justification:</w:t>
      </w:r>
    </w:p>
    <w:p>
      <w:pPr>
        <w:pStyle w:val="Compact"/>
        <w:numPr>
          <w:ilvl w:val="0"/>
          <w:numId w:val="1096"/>
        </w:numPr>
      </w:pPr>
      <w:r>
        <w:t xml:space="preserve">Recommended Requirement Modification:</w:t>
      </w:r>
    </w:p>
    <w:p>
      <w:r>
        <w:pict>
          <v:rect style="width:0;height:1.5pt" o:hralign="center" o:hrstd="t" o:hr="t"/>
        </w:pict>
      </w:r>
    </w:p>
    <w:bookmarkEnd w:id="238"/>
    <w:bookmarkEnd w:id="239"/>
    <w:bookmarkStart w:id="24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0" w:name="threshold-requirements-4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7"/>
        </w:numPr>
      </w:pPr>
      <w:r>
        <w:t xml:space="preserve">If a product hierarchy of resolutions exists (or is planned), the multiple resolutions should nest within each other (e.g., 12.5m, 25m, 50m, 100m, etc.), and not be disjoint.</w:t>
      </w:r>
    </w:p>
    <w:bookmarkEnd w:id="240"/>
    <w:bookmarkStart w:id="241" w:name="goal-requirements-4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1"/>
    <w:bookmarkStart w:id="242" w:name="assessment-49"/>
    <w:p>
      <w:pPr>
        <w:pStyle w:val="berschrift5"/>
      </w:pPr>
      <w:r>
        <w:t xml:space="preserve">Assessment:</w:t>
      </w:r>
    </w:p>
    <w:p>
      <w:pPr>
        <w:pStyle w:val="Compact"/>
        <w:numPr>
          <w:ilvl w:val="0"/>
          <w:numId w:val="1098"/>
        </w:numPr>
      </w:pPr>
      <w:r>
        <w:t xml:space="preserve">Threshold Self-Assessment:</w:t>
      </w:r>
    </w:p>
    <w:p>
      <w:pPr>
        <w:pStyle w:val="Compact"/>
        <w:numPr>
          <w:ilvl w:val="0"/>
          <w:numId w:val="1098"/>
        </w:numPr>
      </w:pPr>
      <w:r>
        <w:t xml:space="preserve">Goal Self-Assessment:</w:t>
      </w:r>
    </w:p>
    <w:p>
      <w:pPr>
        <w:pStyle w:val="Compact"/>
        <w:numPr>
          <w:ilvl w:val="0"/>
          <w:numId w:val="1098"/>
        </w:numPr>
      </w:pPr>
      <w:r>
        <w:t xml:space="preserve">Self-Assessment Explanation/ Justification:</w:t>
      </w:r>
    </w:p>
    <w:p>
      <w:pPr>
        <w:pStyle w:val="Compact"/>
        <w:numPr>
          <w:ilvl w:val="0"/>
          <w:numId w:val="1098"/>
        </w:numPr>
      </w:pPr>
      <w:r>
        <w:t xml:space="preserve">Recommended Requirement Modification:</w:t>
      </w:r>
    </w:p>
    <w:p>
      <w:r>
        <w:br w:type="page"/>
      </w:r>
    </w:p>
    <w:bookmarkEnd w:id="242"/>
    <w:bookmarkEnd w:id="243"/>
    <w:bookmarkEnd w:id="244"/>
    <w:bookmarkEnd w:id="245"/>
    <w:bookmarkStart w:id="252" w:name="summary-self-assessment-table"/>
    <w:p>
      <w:pPr>
        <w:pStyle w:val="berschrift2"/>
      </w:pPr>
      <w:r>
        <w:t xml:space="preserve">Summary Self-Assessment Table</w:t>
      </w:r>
    </w:p>
    <w:bookmarkStart w:id="24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6"/>
    <w:bookmarkStart w:id="24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7"/>
    <w:bookmarkStart w:id="24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prd-spekfil-pol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prd-reorbit-nrb-pol</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48"/>
    <w:bookmarkStart w:id="24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bl>
    <w:bookmarkEnd w:id="249"/>
    <w:bookmarkStart w:id="25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rcm-backsca-pol</w:t>
            </w:r>
          </w:p>
        </w:tc>
        <w:tc>
          <w:tcPr/>
          <w:p>
            <w:pPr>
              <w:pStyle w:val="Compact"/>
            </w:pPr>
            <w:r>
              <w:t xml:space="preserve">Backscatter Measurements (POL)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rcm-flapha</w:t>
            </w:r>
          </w:p>
        </w:tc>
        <w:tc>
          <w:tcPr/>
          <w:p>
            <w:pPr>
              <w:pStyle w:val="Compact"/>
            </w:pPr>
            <w:r>
              <w:t xml:space="preserve">Flattened Phase</w:t>
            </w:r>
          </w:p>
        </w:tc>
        <w:tc>
          <w:tcPr/>
          <w:p>
            <w:pPr>
              <w:pStyle w:val="Compact"/>
              <w:jc w:val="center"/>
            </w:pPr>
            <w:r>
              <w:rPr>
                <w:i/>
                <w:iCs/>
              </w:rPr>
              <w:t xml:space="preserve">not required</w:t>
            </w:r>
          </w:p>
        </w:tc>
        <w:tc>
          <w:tcPr/>
          <w:p>
            <w:pPr>
              <w:pStyle w:val="Compact"/>
            </w:pPr>
          </w:p>
        </w:tc>
      </w:tr>
    </w:tbl>
    <w:bookmarkEnd w:id="250"/>
    <w:bookmarkStart w:id="25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1"/>
    <w:bookmarkEnd w:id="252"/>
    <w:bookmarkStart w:id="25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3"/>
    <w:bookmarkStart w:id="25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9"/>
        </w:numPr>
      </w:pPr>
      <w:r>
        <w:t xml:space="preserve">that product has been assessed as meeting CEOS-ARD requirements by the agency responsible for production and distribution of the product, and</w:t>
      </w:r>
    </w:p>
    <w:p>
      <w:pPr>
        <w:pStyle w:val="Compact"/>
        <w:numPr>
          <w:ilvl w:val="0"/>
          <w:numId w:val="1099"/>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5"/>
    <w:bookmarkStart w:id="25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6"/>
    <w:bookmarkStart w:id="25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7"/>
    <w:bookmarkEnd w:id="258"/>
    <w:bookmarkStart w:id="289" w:name="references"/>
    <w:p>
      <w:pPr>
        <w:pStyle w:val="berschrift2"/>
      </w:pPr>
      <w:r>
        <w:t xml:space="preserve">References</w:t>
      </w:r>
    </w:p>
    <w:bookmarkStart w:id="288" w:name="refs"/>
    <w:bookmarkStart w:id="260" w:name="ref-cameron1996"/>
    <w:p>
      <w:pPr>
        <w:pStyle w:val="Literaturverzeichnis"/>
      </w:pPr>
      <w:r>
        <w:t xml:space="preserve">Cameron, W. L., N. N. Youssef, and L. K. Leung. 1996.</w:t>
      </w:r>
      <w:r>
        <w:t xml:space="preserve"> </w:t>
      </w:r>
      <w:r>
        <w:t xml:space="preserve">“Simulated Polarimetric Signatures of Primitive Geometrical Shapes.”</w:t>
      </w:r>
      <w:r>
        <w:t xml:space="preserve"> </w:t>
      </w:r>
      <w:r>
        <w:rPr>
          <w:i/>
          <w:iCs/>
        </w:rPr>
        <w:t xml:space="preserve">IEEE Transactions on Geoscience and Remote Sensing</w:t>
      </w:r>
      <w:r>
        <w:t xml:space="preserve"> </w:t>
      </w:r>
      <w:r>
        <w:t xml:space="preserve">34 (3): 793–803.</w:t>
      </w:r>
      <w:r>
        <w:t xml:space="preserve"> </w:t>
      </w:r>
      <w:hyperlink r:id="rId259">
        <w:r>
          <w:rPr>
            <w:rStyle w:val="Hyperlink"/>
          </w:rPr>
          <w:t xml:space="preserve">https://doi.org/10.1109/36.499784</w:t>
        </w:r>
      </w:hyperlink>
      <w:r>
        <w:t xml:space="preserve">.</w:t>
      </w:r>
    </w:p>
    <w:bookmarkEnd w:id="260"/>
    <w:bookmarkStart w:id="262" w:name="ref-cloude1996"/>
    <w:p>
      <w:pPr>
        <w:pStyle w:val="Literaturverzeichnis"/>
      </w:pPr>
      <w:r>
        <w:t xml:space="preserve">Cloude, S. R., and E. Pottier. 1996.</w:t>
      </w:r>
      <w:r>
        <w:t xml:space="preserve"> </w:t>
      </w:r>
      <w:r>
        <w:t xml:space="preserve">“A Review of Target Decomposition Theorems in Radar Polarimetry.”</w:t>
      </w:r>
      <w:r>
        <w:t xml:space="preserve"> </w:t>
      </w:r>
      <w:r>
        <w:rPr>
          <w:i/>
          <w:iCs/>
        </w:rPr>
        <w:t xml:space="preserve">IEEE Transactions on Geoscience and Remote Sensing</w:t>
      </w:r>
      <w:r>
        <w:t xml:space="preserve"> </w:t>
      </w:r>
      <w:r>
        <w:t xml:space="preserve">34 (2): 498–518.</w:t>
      </w:r>
      <w:r>
        <w:t xml:space="preserve"> </w:t>
      </w:r>
      <w:hyperlink r:id="rId261">
        <w:r>
          <w:rPr>
            <w:rStyle w:val="Hyperlink"/>
          </w:rPr>
          <w:t xml:space="preserve">https://doi.org/10.1109/36.485127</w:t>
        </w:r>
      </w:hyperlink>
      <w:r>
        <w:t xml:space="preserve">.</w:t>
      </w:r>
    </w:p>
    <w:bookmarkEnd w:id="262"/>
    <w:bookmarkStart w:id="264"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63">
        <w:r>
          <w:rPr>
            <w:rStyle w:val="Hyperlink"/>
          </w:rPr>
          <w:t xml:space="preserve">https://doi.org/10.5281/zenodo.17801666</w:t>
        </w:r>
      </w:hyperlink>
      <w:r>
        <w:t xml:space="preserve">.</w:t>
      </w:r>
    </w:p>
    <w:bookmarkEnd w:id="264"/>
    <w:bookmarkStart w:id="266" w:name="ref-freeman1998"/>
    <w:p>
      <w:pPr>
        <w:pStyle w:val="Literaturverzeichnis"/>
      </w:pPr>
      <w:r>
        <w:t xml:space="preserve">Freeman, Anthony, and S. L. Durden. 1998.</w:t>
      </w:r>
      <w:r>
        <w:t xml:space="preserve"> </w:t>
      </w:r>
      <w:r>
        <w:t xml:space="preserve">“A Three-Component Scattering Model for Polarimetric SAR Data.”</w:t>
      </w:r>
      <w:r>
        <w:t xml:space="preserve"> </w:t>
      </w:r>
      <w:r>
        <w:rPr>
          <w:i/>
          <w:iCs/>
        </w:rPr>
        <w:t xml:space="preserve">Geoscience and Remote Sensing, IEEE Transactions on</w:t>
      </w:r>
      <w:r>
        <w:t xml:space="preserve"> </w:t>
      </w:r>
      <w:r>
        <w:t xml:space="preserve">36 (June): 963–73.</w:t>
      </w:r>
      <w:r>
        <w:t xml:space="preserve"> </w:t>
      </w:r>
      <w:hyperlink r:id="rId265">
        <w:r>
          <w:rPr>
            <w:rStyle w:val="Hyperlink"/>
          </w:rPr>
          <w:t xml:space="preserve">https://doi.org/10.1109/36.673687</w:t>
        </w:r>
      </w:hyperlink>
      <w:r>
        <w:t xml:space="preserve">.</w:t>
      </w:r>
    </w:p>
    <w:bookmarkEnd w:id="266"/>
    <w:bookmarkStart w:id="268" w:name="ref-gens2013"/>
    <w:p>
      <w:pPr>
        <w:pStyle w:val="Literaturverzeichnis"/>
      </w:pPr>
      <w:r>
        <w:t xml:space="preserve">Gens, R., Donald Atwood, and Eric Pottier. 2013.</w:t>
      </w:r>
      <w:r>
        <w:t xml:space="preserve"> </w:t>
      </w:r>
      <w:r>
        <w:t xml:space="preserve">“Geocoding of Polarimetric Processing Results: Alternative Processing Strategies.”</w:t>
      </w:r>
      <w:r>
        <w:t xml:space="preserve"> </w:t>
      </w:r>
      <w:r>
        <w:rPr>
          <w:i/>
          <w:iCs/>
        </w:rPr>
        <w:t xml:space="preserve">Remote Sensing Letters</w:t>
      </w:r>
      <w:r>
        <w:t xml:space="preserve"> </w:t>
      </w:r>
      <w:r>
        <w:t xml:space="preserve">4 (January): 38–44.</w:t>
      </w:r>
      <w:r>
        <w:t xml:space="preserve"> </w:t>
      </w:r>
      <w:hyperlink r:id="rId267">
        <w:r>
          <w:rPr>
            <w:rStyle w:val="Hyperlink"/>
          </w:rPr>
          <w:t xml:space="preserve">https://doi.org/10.1080/2150704X.2012.687470</w:t>
        </w:r>
      </w:hyperlink>
      <w:r>
        <w:t xml:space="preserve">.</w:t>
      </w:r>
    </w:p>
    <w:bookmarkEnd w:id="268"/>
    <w:bookmarkStart w:id="269"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69"/>
    <w:bookmarkStart w:id="270"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70"/>
    <w:bookmarkStart w:id="271" w:name="ref-krogager1993"/>
    <w:p>
      <w:pPr>
        <w:pStyle w:val="Literaturverzeichnis"/>
      </w:pPr>
      <w:r>
        <w:t xml:space="preserve">Krogager, E., Dinamarca) Danmarks Tekniske Hojskole (Lingby, and Danish Defence Research Establishment. 1993.</w:t>
      </w:r>
      <w:r>
        <w:t xml:space="preserve"> </w:t>
      </w:r>
      <w:r>
        <w:rPr>
          <w:i/>
          <w:iCs/>
        </w:rPr>
        <w:t xml:space="preserve">Aspects of Polarimetric Radar Imaging</w:t>
      </w:r>
      <w:r>
        <w:t xml:space="preserve">. Danish Defence Research Establishment.</w:t>
      </w:r>
    </w:p>
    <w:bookmarkEnd w:id="271"/>
    <w:bookmarkStart w:id="273"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72">
        <w:r>
          <w:rPr>
            <w:rStyle w:val="Hyperlink"/>
          </w:rPr>
          <w:t xml:space="preserve">https://doi.org/10.1109/TGRS.2008.2002881</w:t>
        </w:r>
      </w:hyperlink>
      <w:r>
        <w:t xml:space="preserve">.</w:t>
      </w:r>
    </w:p>
    <w:bookmarkEnd w:id="273"/>
    <w:bookmarkStart w:id="275" w:name="ref-raney2012"/>
    <w:p>
      <w:pPr>
        <w:pStyle w:val="Literaturverzeichnis"/>
      </w:pPr>
      <w:r>
        <w:t xml:space="preserve">Raney, Russell, Joshua Cahill, G. Patterson, and D. Bussey. 2012.</w:t>
      </w:r>
      <w:r>
        <w:t xml:space="preserve"> </w:t>
      </w:r>
      <w:r>
        <w:t xml:space="preserve">“The m-Chi Decomposition of Hybrid Dual-Polarimetric Radar Data with Application to Lunar Craters.”</w:t>
      </w:r>
      <w:r>
        <w:t xml:space="preserve"> </w:t>
      </w:r>
      <w:r>
        <w:rPr>
          <w:i/>
          <w:iCs/>
        </w:rPr>
        <w:t xml:space="preserve">Journal of Geophysical Research (Planets)</w:t>
      </w:r>
      <w:r>
        <w:t xml:space="preserve"> </w:t>
      </w:r>
      <w:r>
        <w:t xml:space="preserve">117 (May).</w:t>
      </w:r>
      <w:r>
        <w:t xml:space="preserve"> </w:t>
      </w:r>
      <w:hyperlink r:id="rId274">
        <w:r>
          <w:rPr>
            <w:rStyle w:val="Hyperlink"/>
          </w:rPr>
          <w:t xml:space="preserve">https://doi.org/10.1029/2011JE003986</w:t>
        </w:r>
      </w:hyperlink>
      <w:r>
        <w:t xml:space="preserve">.</w:t>
      </w:r>
    </w:p>
    <w:bookmarkEnd w:id="275"/>
    <w:bookmarkStart w:id="277"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76">
        <w:r>
          <w:rPr>
            <w:rStyle w:val="Hyperlink"/>
          </w:rPr>
          <w:t xml:space="preserve">https://doi.org/10.1109/TGRS.2022.3147472</w:t>
        </w:r>
      </w:hyperlink>
      <w:r>
        <w:t xml:space="preserve">.</w:t>
      </w:r>
    </w:p>
    <w:bookmarkEnd w:id="277"/>
    <w:bookmarkStart w:id="279"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78">
        <w:r>
          <w:rPr>
            <w:rStyle w:val="Hyperlink"/>
          </w:rPr>
          <w:t xml:space="preserve">https://doi.org/10.1109/TGRS.2011.2120616</w:t>
        </w:r>
      </w:hyperlink>
      <w:r>
        <w:t xml:space="preserve">.</w:t>
      </w:r>
    </w:p>
    <w:bookmarkEnd w:id="279"/>
    <w:bookmarkStart w:id="281" w:name="ref-toutin2013"/>
    <w:p>
      <w:pPr>
        <w:pStyle w:val="Literaturverzeichnis"/>
      </w:pPr>
      <w:r>
        <w:t xml:space="preserve">Toutin, Thierry, Huili Wang, Pierre Chomaz, and Eric Pottier. 2013.</w:t>
      </w:r>
      <w:r>
        <w:t xml:space="preserve"> </w:t>
      </w:r>
      <w:r>
        <w:t xml:space="preserve">“Orthorectification of Full-Polarimetric Radarsat-2 Data Using Accurate LIDAR DSM.”</w:t>
      </w:r>
      <w:r>
        <w:t xml:space="preserve"> </w:t>
      </w:r>
      <w:r>
        <w:rPr>
          <w:i/>
          <w:iCs/>
        </w:rPr>
        <w:t xml:space="preserve">Geoscience and Remote Sensing, IEEE Transactions on</w:t>
      </w:r>
      <w:r>
        <w:t xml:space="preserve"> </w:t>
      </w:r>
      <w:r>
        <w:t xml:space="preserve">51 (December): 5252–58.</w:t>
      </w:r>
      <w:r>
        <w:t xml:space="preserve"> </w:t>
      </w:r>
      <w:hyperlink r:id="rId280">
        <w:r>
          <w:rPr>
            <w:rStyle w:val="Hyperlink"/>
          </w:rPr>
          <w:t xml:space="preserve">https://doi.org/10.1109/TGRS.2012.2233206</w:t>
        </w:r>
      </w:hyperlink>
      <w:r>
        <w:t xml:space="preserve">.</w:t>
      </w:r>
    </w:p>
    <w:bookmarkEnd w:id="281"/>
    <w:bookmarkStart w:id="283" w:name="ref-yamaguchi2011"/>
    <w:p>
      <w:pPr>
        <w:pStyle w:val="Literaturverzeichnis"/>
      </w:pPr>
      <w:r>
        <w:t xml:space="preserve">Yamaguchi, Yoshio, Akinobu Sato, Wolfgang-Martin Boerner, Ryoichi Sato, and Hiroyoshi Yamada. 2011.</w:t>
      </w:r>
      <w:r>
        <w:t xml:space="preserve"> </w:t>
      </w:r>
      <w:r>
        <w:t xml:space="preserve">“Four-Component Scattering Power Decomposition with Rotation of Coherency Matrix.”</w:t>
      </w:r>
      <w:r>
        <w:t xml:space="preserve"> </w:t>
      </w:r>
      <w:r>
        <w:rPr>
          <w:i/>
          <w:iCs/>
        </w:rPr>
        <w:t xml:space="preserve">Geoscience and Remote Sensing, IEEE Transactions on</w:t>
      </w:r>
      <w:r>
        <w:t xml:space="preserve"> </w:t>
      </w:r>
      <w:r>
        <w:t xml:space="preserve">49 (July): 2251–58.</w:t>
      </w:r>
      <w:r>
        <w:t xml:space="preserve"> </w:t>
      </w:r>
      <w:hyperlink r:id="rId282">
        <w:r>
          <w:rPr>
            <w:rStyle w:val="Hyperlink"/>
          </w:rPr>
          <w:t xml:space="preserve">https://doi.org/10.1109/TGRS.2010.2099124</w:t>
        </w:r>
      </w:hyperlink>
      <w:r>
        <w:t xml:space="preserve">.</w:t>
      </w:r>
    </w:p>
    <w:bookmarkEnd w:id="283"/>
    <w:bookmarkStart w:id="285"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84">
        <w:r>
          <w:rPr>
            <w:rStyle w:val="Hyperlink"/>
          </w:rPr>
          <w:t xml:space="preserve">https://doi.org/10.1109/LGRS.2017.2753580</w:t>
        </w:r>
      </w:hyperlink>
      <w:r>
        <w:t xml:space="preserve">.</w:t>
      </w:r>
    </w:p>
    <w:bookmarkEnd w:id="285"/>
    <w:bookmarkStart w:id="287"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86">
        <w:r>
          <w:rPr>
            <w:rStyle w:val="Hyperlink"/>
          </w:rPr>
          <w:t xml:space="preserve">https://doi.org/10.1109/TGRS.2010.2051333</w:t>
        </w:r>
      </w:hyperlink>
      <w:r>
        <w:t xml:space="preserve">.</w:t>
      </w:r>
    </w:p>
    <w:bookmarkEnd w:id="287"/>
    <w:bookmarkEnd w:id="288"/>
    <w:p>
      <w:r>
        <w:br w:type="page"/>
      </w:r>
    </w:p>
    <w:bookmarkEnd w:id="289"/>
    <w:bookmarkStart w:id="313" w:name="annexes"/>
    <w:p>
      <w:pPr>
        <w:pStyle w:val="berschrift2"/>
      </w:pPr>
      <w:r>
        <w:t xml:space="preserve">Annexes</w:t>
      </w:r>
    </w:p>
    <w:bookmarkStart w:id="291"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00"/>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00"/>
        </w:numPr>
      </w:pPr>
      <w:r>
        <w:t xml:space="preserve">Apply instrument calibration to produce Beta-Nought values with high fidelity.</w:t>
      </w:r>
    </w:p>
    <w:p>
      <w:pPr>
        <w:pStyle w:val="Compact"/>
        <w:numPr>
          <w:ilvl w:val="0"/>
          <w:numId w:val="1100"/>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00"/>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00"/>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00"/>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00"/>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00"/>
        </w:numPr>
      </w:pPr>
      <w:r>
        <w:t xml:space="preserve">Generate CEOS format metadata to accompany product layers.</w:t>
      </w:r>
    </w:p>
    <w:p>
      <w:pPr>
        <w:pStyle w:val="Compact"/>
        <w:numPr>
          <w:ilvl w:val="0"/>
          <w:numId w:val="1100"/>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90"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90"/>
    <w:bookmarkEnd w:id="291"/>
    <w:bookmarkStart w:id="298" w:name="sec:annex-sar-pol-covmat"/>
    <w:p>
      <w:pPr>
        <w:pStyle w:val="berschrift3"/>
      </w:pPr>
      <w:r>
        <w:t xml:space="preserve">Normalised Covariance Matrices (CovMat)</w:t>
      </w:r>
    </w:p>
    <w:p>
      <w:pPr>
        <w:pStyle w:val="FirstParagraph"/>
      </w:pPr>
      <w:r>
        <w:t xml:space="preserve">In order to preserve the inter-channel polarimetric phase and thus the full information content of coherent dual-pol and fully polarimetric data, the covariance matrix is proposed as the data storage format. Covariance matrices are generated from the complex cross product of polarimetric channels, as shown in Eq. </w:t>
      </w:r>
      <w:hyperlink w:anchor="eq:sar-pol-covmat-eq1">
        <w:r>
          <w:rPr>
            <w:rStyle w:val="Hyperlink"/>
          </w:rPr>
          <w:t xml:space="preserve">1</w:t>
        </w:r>
      </w:hyperlink>
      <w:r>
        <w:t xml:space="preserve"> </w:t>
      </w:r>
      <w:r>
        <w:t xml:space="preserve">for fully polarimetric data (C3) and in Eq. </w:t>
      </w:r>
      <w:hyperlink w:anchor="eq:sar-pol-covmat-eq3">
        <w:r>
          <w:rPr>
            <w:rStyle w:val="Hyperlink"/>
          </w:rPr>
          <w:t xml:space="preserve">3</w:t>
        </w:r>
      </w:hyperlink>
      <w:r>
        <w:t xml:space="preserve"> </w:t>
      </w:r>
      <w:r>
        <w:t xml:space="preserve">for dual polarization data (C2). Since these matrices are complex symmetrical, only the upper diagonal elements (bold elements) need to be stored in the ARD database.</w:t>
      </w:r>
    </w:p>
    <w:p>
      <w:pPr>
        <w:pStyle w:val="Textkrper"/>
      </w:pPr>
      <w:r>
        <w:rPr>
          <w:b/>
          <w:bCs/>
        </w:rPr>
        <w:t xml:space="preserve">Fully polarimetric</w:t>
      </w:r>
    </w:p>
    <w:p>
      <w:pPr>
        <w:pStyle w:val="Textkrper"/>
      </w:pPr>
      <w:bookmarkStart w:id="292" w:name="eq:sar-pol-covmat-eq1"/>
      <m:oMathPara>
        <m:oMathParaPr>
          <m:jc m:val="center"/>
        </m:oMathParaPr>
        <m:oMath>
          <m:r>
            <m:t>C</m:t>
          </m:r>
          <m:r>
            <m:t>3</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ad>
                      <m:radPr>
                        <m:degHide m:val="on"/>
                      </m:radPr>
                      <m:deg/>
                      <m:e>
                        <m:r>
                          <m:t>2</m:t>
                        </m:r>
                      </m:e>
                    </m:rad>
                    <m:r>
                      <m:rPr>
                        <m:sty m:val="p"/>
                      </m:rPr>
                      <m:t>⋅</m:t>
                    </m:r>
                    <m:r>
                      <m:rPr>
                        <m:sty m:val="b"/>
                      </m:rPr>
                      <m:t>H</m:t>
                    </m:r>
                    <m:r>
                      <m:rPr>
                        <m:sty m:val="b"/>
                      </m:rPr>
                      <m:t>H</m:t>
                    </m:r>
                    <m:r>
                      <m:rPr>
                        <m:sty m:val="p"/>
                      </m:rPr>
                      <m:t>⋅</m:t>
                    </m:r>
                    <m:r>
                      <m:rPr>
                        <m:sty m:val="b"/>
                      </m:rPr>
                      <m:t>H</m:t>
                    </m:r>
                    <m:sSup>
                      <m:e>
                        <m:r>
                          <m:rPr>
                            <m:sty m:val="b"/>
                          </m:rPr>
                          <m:t>V</m:t>
                        </m:r>
                      </m:e>
                      <m:sup>
                        <m:r>
                          <m:rPr>
                            <m:sty m:val="p"/>
                          </m:rPr>
                          <m:t>*</m:t>
                        </m:r>
                      </m:sup>
                    </m:sSup>
                  </m:e>
                  <m:e>
                    <m:r>
                      <m:rPr>
                        <m:sty m:val="b"/>
                      </m:rPr>
                      <m:t>H</m:t>
                    </m:r>
                    <m:r>
                      <m:rPr>
                        <m:sty m:val="b"/>
                      </m:rPr>
                      <m:t>H</m:t>
                    </m:r>
                    <m:r>
                      <m:rPr>
                        <m:sty m:val="p"/>
                      </m:rPr>
                      <m:t>⋅</m:t>
                    </m:r>
                    <m:r>
                      <m:rPr>
                        <m:sty m:val="b"/>
                      </m:rPr>
                      <m:t>V</m:t>
                    </m:r>
                    <m:sSup>
                      <m:e>
                        <m:r>
                          <m:rPr>
                            <m:sty m:val="b"/>
                          </m:rPr>
                          <m:t>V</m:t>
                        </m:r>
                      </m:e>
                      <m:sup>
                        <m:r>
                          <m:rPr>
                            <m:sty m:val="p"/>
                          </m:rPr>
                          <m:t>*</m:t>
                        </m:r>
                      </m:sup>
                    </m:sSup>
                  </m:e>
                </m:mr>
                <m:mr>
                  <m:e>
                    <m:rad>
                      <m:radPr>
                        <m:degHide m:val="on"/>
                      </m:radPr>
                      <m:deg/>
                      <m:e>
                        <m:r>
                          <m:t>2</m:t>
                        </m:r>
                      </m:e>
                    </m:rad>
                    <m:r>
                      <m:rPr>
                        <m:sty m:val="p"/>
                      </m:rPr>
                      <m:t>⋅</m:t>
                    </m:r>
                    <m:r>
                      <m:t>H</m:t>
                    </m:r>
                    <m:r>
                      <m:t>V</m:t>
                    </m:r>
                    <m:r>
                      <m:rPr>
                        <m:sty m:val="p"/>
                      </m:rPr>
                      <m:t>⋅</m:t>
                    </m:r>
                    <m:r>
                      <m:t>H</m:t>
                    </m:r>
                    <m:sSup>
                      <m:e>
                        <m:r>
                          <m:t>H</m:t>
                        </m:r>
                      </m:e>
                      <m:sup>
                        <m:r>
                          <m:rPr>
                            <m:sty m:val="p"/>
                          </m:rPr>
                          <m:t>*</m:t>
                        </m:r>
                      </m:sup>
                    </m:sSup>
                  </m:e>
                  <m:e>
                    <m:r>
                      <m:t>2</m:t>
                    </m:r>
                    <m:r>
                      <m:rPr>
                        <m:sty m:val="p"/>
                      </m:rPr>
                      <m:t>⋅</m:t>
                    </m:r>
                    <m:r>
                      <m:rPr>
                        <m:sty m:val="p"/>
                      </m:rPr>
                      <m:t>|</m:t>
                    </m:r>
                    <m:r>
                      <m:rPr>
                        <m:sty m:val="b"/>
                      </m:rPr>
                      <m:t>H</m:t>
                    </m:r>
                    <m:r>
                      <m:rPr>
                        <m:sty m:val="b"/>
                      </m:rPr>
                      <m:t>V</m:t>
                    </m:r>
                    <m:sSup>
                      <m:e>
                        <m:r>
                          <m:rPr>
                            <m:sty m:val="p"/>
                          </m:rPr>
                          <m:t>|</m:t>
                        </m:r>
                      </m:e>
                      <m:sup>
                        <m:r>
                          <m:t>2</m:t>
                        </m:r>
                      </m:sup>
                    </m:sSup>
                  </m:e>
                  <m:e>
                    <m:rad>
                      <m:radPr>
                        <m:degHide m:val="on"/>
                      </m:radPr>
                      <m:deg/>
                      <m:e>
                        <m:r>
                          <m:t>2</m:t>
                        </m:r>
                      </m:e>
                    </m:rad>
                    <m:r>
                      <m:rPr>
                        <m:sty m:val="p"/>
                      </m:rPr>
                      <m:t>⋅</m:t>
                    </m:r>
                    <m:r>
                      <m:rPr>
                        <m:sty m:val="b"/>
                      </m:rPr>
                      <m:t>H</m:t>
                    </m:r>
                    <m:r>
                      <m:rPr>
                        <m:sty m:val="b"/>
                      </m:rPr>
                      <m:t>V</m:t>
                    </m:r>
                    <m:r>
                      <m:rPr>
                        <m:sty m:val="p"/>
                      </m:rPr>
                      <m:t>⋅</m:t>
                    </m:r>
                    <m:r>
                      <m:rPr>
                        <m:sty m:val="b"/>
                      </m:rPr>
                      <m:t>H</m:t>
                    </m:r>
                    <m:sSup>
                      <m:e>
                        <m:r>
                          <m:rPr>
                            <m:sty m:val="b"/>
                          </m:rPr>
                          <m:t>V</m:t>
                        </m:r>
                      </m:e>
                      <m:sup>
                        <m:r>
                          <m:rPr>
                            <m:sty m:val="p"/>
                          </m:rPr>
                          <m:t>*</m:t>
                        </m:r>
                      </m:sup>
                    </m:sSup>
                  </m:e>
                </m:mr>
                <m:mr>
                  <m:e>
                    <m:r>
                      <m:t>V</m:t>
                    </m:r>
                    <m:r>
                      <m:t>V</m:t>
                    </m:r>
                    <m:r>
                      <m:rPr>
                        <m:sty m:val="p"/>
                      </m:rPr>
                      <m:t>⋅</m:t>
                    </m:r>
                    <m:r>
                      <m:t>H</m:t>
                    </m:r>
                    <m:sSup>
                      <m:e>
                        <m:r>
                          <m:t>H</m:t>
                        </m:r>
                      </m:e>
                      <m:sup>
                        <m:r>
                          <m:rPr>
                            <m:sty m:val="p"/>
                          </m:rPr>
                          <m:t>*</m:t>
                        </m:r>
                      </m:sup>
                    </m:sSup>
                  </m:e>
                  <m:e>
                    <m:rad>
                      <m:radPr>
                        <m:degHide m:val="on"/>
                      </m:radPr>
                      <m:deg/>
                      <m:e>
                        <m:r>
                          <m:t>2</m:t>
                        </m:r>
                      </m:e>
                    </m:rad>
                    <m:r>
                      <m:rPr>
                        <m:sty m:val="p"/>
                      </m:rPr>
                      <m:t>⋅</m:t>
                    </m:r>
                    <m:r>
                      <m:t>V</m:t>
                    </m:r>
                    <m:r>
                      <m:t>V</m:t>
                    </m:r>
                    <m:r>
                      <m:rPr>
                        <m:sty m:val="p"/>
                      </m:rPr>
                      <m:t>⋅</m:t>
                    </m:r>
                    <m:r>
                      <m:t>H</m:t>
                    </m:r>
                    <m:sSup>
                      <m:e>
                        <m:r>
                          <m:t>V</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m:t>
          </m:r>
          <m:r>
            <m:rPr>
              <m:sty m:val="p"/>
            </m:rPr>
            <m:t>)</m:t>
          </m:r>
        </m:oMath>
      </m:oMathPara>
      <w:bookmarkEnd w:id="292"/>
    </w:p>
    <w:p>
      <w:pPr>
        <w:pStyle w:val="FirstParagraph"/>
      </w:pPr>
      <w:r>
        <w:t xml:space="preserve">Where HV = VH, under the reciprocity assumption. | | and * mean respectively complex modulus and the complex conjugate.</w:t>
      </w:r>
    </w:p>
    <w:p>
      <w:pPr>
        <w:pStyle w:val="Textkrper"/>
      </w:pPr>
      <w:r>
        <w:rPr>
          <w:b/>
          <w:bCs/>
        </w:rPr>
        <w:t xml:space="preserve">Dual polarization</w:t>
      </w:r>
    </w:p>
    <w:p>
      <w:pPr>
        <w:pStyle w:val="Textkrper"/>
      </w:pPr>
      <w:bookmarkStart w:id="293" w:name="eq:sar-pol-covmat-eq2"/>
      <m:oMathPara>
        <m:oMathParaPr>
          <m:jc m:val="center"/>
        </m:oMathParaPr>
        <m:oMath>
          <m:r>
            <m:rPr>
              <m:nor/>
              <m:sty m:val="p"/>
            </m:rPr>
            <m:t>HH-HV: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
                      <m:rPr>
                        <m:sty m:val="b"/>
                      </m:rPr>
                      <m:t>H</m:t>
                    </m:r>
                    <m:r>
                      <m:rPr>
                        <m:sty m:val="b"/>
                      </m:rPr>
                      <m:t>H</m:t>
                    </m:r>
                    <m:r>
                      <m:rPr>
                        <m:sty m:val="p"/>
                      </m:rPr>
                      <m:t>⋅</m:t>
                    </m:r>
                    <m:r>
                      <m:rPr>
                        <m:sty m:val="b"/>
                      </m:rPr>
                      <m:t>H</m:t>
                    </m:r>
                    <m:sSup>
                      <m:e>
                        <m:r>
                          <m:rPr>
                            <m:sty m:val="b"/>
                          </m:rPr>
                          <m:t>V</m:t>
                        </m:r>
                      </m:e>
                      <m:sup>
                        <m:r>
                          <m:rPr>
                            <m:sty m:val="p"/>
                          </m:rPr>
                          <m:t>*</m:t>
                        </m:r>
                      </m:sup>
                    </m:sSup>
                  </m:e>
                </m:mr>
                <m:mr>
                  <m:e>
                    <m:r>
                      <m:t>H</m:t>
                    </m:r>
                    <m:r>
                      <m:t>V</m:t>
                    </m:r>
                    <m:r>
                      <m:rPr>
                        <m:sty m:val="p"/>
                      </m:rPr>
                      <m:t>⋅</m:t>
                    </m:r>
                    <m:r>
                      <m:t>H</m:t>
                    </m:r>
                    <m:sSup>
                      <m:e>
                        <m:r>
                          <m:t>H</m:t>
                        </m:r>
                      </m:e>
                      <m:sup>
                        <m:r>
                          <m:rPr>
                            <m:sty m:val="p"/>
                          </m:rPr>
                          <m:t>*</m:t>
                        </m:r>
                      </m:sup>
                    </m:sSup>
                  </m:e>
                  <m:e>
                    <m:r>
                      <m:rPr>
                        <m:sty m:val="p"/>
                      </m:rPr>
                      <m:t>|</m:t>
                    </m:r>
                    <m:r>
                      <m:rPr>
                        <m:sty m:val="b"/>
                      </m:rPr>
                      <m:t>H</m:t>
                    </m:r>
                    <m:r>
                      <m:rPr>
                        <m:sty m:val="b"/>
                      </m:rPr>
                      <m:t>V</m:t>
                    </m:r>
                    <m:sSup>
                      <m:e>
                        <m:r>
                          <m:rPr>
                            <m:sty m:val="p"/>
                          </m:rPr>
                          <m:t>|</m:t>
                        </m:r>
                      </m:e>
                      <m:sup>
                        <m:r>
                          <m:t>2</m:t>
                        </m:r>
                      </m:sup>
                    </m:sSup>
                  </m:e>
                </m:mr>
              </m:m>
            </m:e>
          </m:d>
          <m:r>
            <m:t>  </m:t>
          </m:r>
          <m:r>
            <m:rPr>
              <m:sty m:val="p"/>
            </m:rPr>
            <m:t>(</m:t>
          </m:r>
          <m:r>
            <m:t>2</m:t>
          </m:r>
          <m:r>
            <m:rPr>
              <m:sty m:val="p"/>
            </m:rPr>
            <m:t>)</m:t>
          </m:r>
        </m:oMath>
      </m:oMathPara>
      <w:bookmarkEnd w:id="293"/>
    </w:p>
    <w:p>
      <w:pPr>
        <w:pStyle w:val="FirstParagraph"/>
      </w:pPr>
      <w:bookmarkStart w:id="294" w:name="eq:sar-pol-covmat-eq3"/>
      <m:oMathPara>
        <m:oMathParaPr>
          <m:jc m:val="center"/>
        </m:oMathParaPr>
        <m:oMath>
          <m:r>
            <m:rPr>
              <m:nor/>
              <m:sty m:val="p"/>
            </m:rPr>
            <m:t>VV-VH:</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V</m:t>
                    </m:r>
                    <m:r>
                      <m:rPr>
                        <m:sty m:val="b"/>
                      </m:rPr>
                      <m:t>H</m:t>
                    </m:r>
                    <m:sSup>
                      <m:e>
                        <m:r>
                          <m:rPr>
                            <m:sty m:val="p"/>
                          </m:rPr>
                          <m:t>|</m:t>
                        </m:r>
                      </m:e>
                      <m:sup>
                        <m:r>
                          <m:t>2</m:t>
                        </m:r>
                      </m:sup>
                    </m:sSup>
                  </m:e>
                  <m:e>
                    <m:r>
                      <m:rPr>
                        <m:sty m:val="b"/>
                      </m:rPr>
                      <m:t>V</m:t>
                    </m:r>
                    <m:r>
                      <m:rPr>
                        <m:sty m:val="b"/>
                      </m:rPr>
                      <m:t>H</m:t>
                    </m:r>
                    <m:r>
                      <m:rPr>
                        <m:sty m:val="p"/>
                      </m:rPr>
                      <m:t>⋅</m:t>
                    </m:r>
                    <m:r>
                      <m:rPr>
                        <m:sty m:val="b"/>
                      </m:rPr>
                      <m:t>V</m:t>
                    </m:r>
                    <m:sSup>
                      <m:e>
                        <m:r>
                          <m:rPr>
                            <m:sty m:val="b"/>
                          </m:rPr>
                          <m:t>H</m:t>
                        </m:r>
                      </m:e>
                      <m:sup>
                        <m:r>
                          <m:rPr>
                            <m:sty m:val="p"/>
                          </m:rPr>
                          <m:t>*</m:t>
                        </m:r>
                      </m:sup>
                    </m:sSup>
                  </m:e>
                </m:mr>
                <m:mr>
                  <m:e>
                    <m:r>
                      <m:t>V</m:t>
                    </m:r>
                    <m:r>
                      <m:t>H</m:t>
                    </m:r>
                    <m:r>
                      <m:rPr>
                        <m:sty m:val="p"/>
                      </m:rPr>
                      <m:t>⋅</m:t>
                    </m:r>
                    <m:r>
                      <m:t>V</m:t>
                    </m:r>
                    <m:sSup>
                      <m:e>
                        <m:r>
                          <m:t>H</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3</m:t>
          </m:r>
          <m:r>
            <m:rPr>
              <m:sty m:val="p"/>
            </m:rPr>
            <m:t>)</m:t>
          </m:r>
        </m:oMath>
      </m:oMathPara>
      <w:bookmarkEnd w:id="294"/>
    </w:p>
    <w:p>
      <w:pPr>
        <w:pStyle w:val="FirstParagraph"/>
      </w:pPr>
      <w:bookmarkStart w:id="295" w:name="eq:eq:sar-pol-covmat-eq4"/>
      <m:oMathPara>
        <m:oMathParaPr>
          <m:jc m:val="center"/>
        </m:oMathParaPr>
        <m:oMath>
          <m:r>
            <m:rPr>
              <m:nor/>
              <m:sty m:val="p"/>
            </m:rPr>
            <m:t>CH-CV: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C</m:t>
                    </m:r>
                    <m:r>
                      <m:rPr>
                        <m:sty m:val="b"/>
                      </m:rPr>
                      <m:t>H</m:t>
                    </m:r>
                    <m:sSup>
                      <m:e>
                        <m:r>
                          <m:rPr>
                            <m:sty m:val="p"/>
                          </m:rPr>
                          <m:t>|</m:t>
                        </m:r>
                      </m:e>
                      <m:sup>
                        <m:r>
                          <m:t>2</m:t>
                        </m:r>
                      </m:sup>
                    </m:sSup>
                  </m:e>
                  <m:e>
                    <m:r>
                      <m:rPr>
                        <m:sty m:val="b"/>
                      </m:rPr>
                      <m:t>C</m:t>
                    </m:r>
                    <m:r>
                      <m:rPr>
                        <m:sty m:val="b"/>
                      </m:rPr>
                      <m:t>H</m:t>
                    </m:r>
                    <m:r>
                      <m:rPr>
                        <m:sty m:val="p"/>
                      </m:rPr>
                      <m:t>⋅</m:t>
                    </m:r>
                    <m:r>
                      <m:rPr>
                        <m:sty m:val="b"/>
                      </m:rPr>
                      <m:t>C</m:t>
                    </m:r>
                    <m:sSup>
                      <m:e>
                        <m:r>
                          <m:rPr>
                            <m:sty m:val="b"/>
                          </m:rPr>
                          <m:t>V</m:t>
                        </m:r>
                      </m:e>
                      <m:sup>
                        <m:r>
                          <m:rPr>
                            <m:sty m:val="p"/>
                          </m:rPr>
                          <m:t>*</m:t>
                        </m:r>
                      </m:sup>
                    </m:sSup>
                  </m:e>
                </m:mr>
                <m:mr>
                  <m:e>
                    <m:r>
                      <m:t>C</m:t>
                    </m:r>
                    <m:r>
                      <m:t>V</m:t>
                    </m:r>
                    <m:r>
                      <m:rPr>
                        <m:sty m:val="p"/>
                      </m:rPr>
                      <m:t>⋅</m:t>
                    </m:r>
                    <m:r>
                      <m:t>C</m:t>
                    </m:r>
                    <m:sSup>
                      <m:e>
                        <m:r>
                          <m:t>H</m:t>
                        </m:r>
                      </m:e>
                      <m:sup>
                        <m:r>
                          <m:rPr>
                            <m:sty m:val="p"/>
                          </m:rPr>
                          <m:t>*</m:t>
                        </m:r>
                      </m:sup>
                    </m:sSup>
                  </m:e>
                  <m:e>
                    <m:r>
                      <m:rPr>
                        <m:sty m:val="p"/>
                      </m:rPr>
                      <m:t>|</m:t>
                    </m:r>
                    <m:r>
                      <m:rPr>
                        <m:sty m:val="b"/>
                      </m:rPr>
                      <m:t>C</m:t>
                    </m:r>
                    <m:r>
                      <m:rPr>
                        <m:sty m:val="b"/>
                      </m:rPr>
                      <m:t>V</m:t>
                    </m:r>
                    <m:sSup>
                      <m:e>
                        <m:r>
                          <m:rPr>
                            <m:sty m:val="p"/>
                          </m:rPr>
                          <m:t>|</m:t>
                        </m:r>
                      </m:e>
                      <m:sup>
                        <m:r>
                          <m:t>2</m:t>
                        </m:r>
                      </m:sup>
                    </m:sSup>
                  </m:e>
                </m:mr>
              </m:m>
            </m:e>
          </m:d>
          <m:r>
            <m:t>  </m:t>
          </m:r>
          <m:r>
            <m:rPr>
              <m:sty m:val="p"/>
            </m:rPr>
            <m:t>(</m:t>
          </m:r>
          <m:r>
            <m:t>4</m:t>
          </m:r>
          <m:r>
            <m:rPr>
              <m:sty m:val="p"/>
            </m:rPr>
            <m:t>)</m:t>
          </m:r>
        </m:oMath>
      </m:oMathPara>
      <w:bookmarkEnd w:id="295"/>
    </w:p>
    <w:p>
      <w:pPr>
        <w:pStyle w:val="FirstParagraph"/>
      </w:pPr>
      <w:r>
        <w:t xml:space="preserve">Where CH and CV refer to dual polarization transmitting a circular polarized signal. [CH, CV] can be replaced by [LH, LV] or [RH, RV] for left (L) or right (R) hand circular transmission respectively, although RCM will offer only right-hand circular transmission. The coherent HH-VV configuration available on TerraSAR-X could also be represented as C2 format.</w:t>
      </w:r>
    </w:p>
    <w:p>
      <w:pPr>
        <w:pStyle w:val="Textkrper"/>
      </w:pPr>
      <w:r>
        <w:t xml:space="preserve">Polarimetric decomposition methods like</w:t>
      </w:r>
      <w:r>
        <w:t xml:space="preserve"> </w:t>
      </w:r>
      <w:r>
        <w:t xml:space="preserve">(</w:t>
      </w:r>
      <w:hyperlink w:anchor="ref-yamaguchi2011">
        <w:r>
          <w:rPr>
            <w:rStyle w:val="Hyperlink"/>
          </w:rPr>
          <w:t xml:space="preserve">Yamaguchi et al. 2011</w:t>
        </w:r>
      </w:hyperlink>
      <w:r>
        <w:t xml:space="preserve">)</w:t>
      </w:r>
      <w:r>
        <w:t xml:space="preserve"> </w:t>
      </w:r>
      <w:r>
        <w:t xml:space="preserve">for fully polarimetric, or m-chi</w:t>
      </w:r>
      <w:r>
        <w:t xml:space="preserve"> </w:t>
      </w:r>
      <w:r>
        <w:t xml:space="preserve">(</w:t>
      </w:r>
      <w:hyperlink w:anchor="ref-raney2012">
        <w:r>
          <w:rPr>
            <w:rStyle w:val="Hyperlink"/>
          </w:rPr>
          <w:t xml:space="preserve">Raney et al. 2012</w:t>
        </w:r>
      </w:hyperlink>
      <w:r>
        <w:t xml:space="preserve">)</w:t>
      </w:r>
      <w:r>
        <w:t xml:space="preserve"> </w:t>
      </w:r>
      <w:r>
        <w:t xml:space="preserve">for compact polarimetric data, can be applied directly on averaged (speckle filtered) C3 and C2 matrices respectively. These decompositions enhance scattering information, bring it to a more comprehensible level to end-users, and raise the performance of thematic classification methodologies. For SAR products that were acquired with single polarization the use of the covariance matrix does not result in superfluous storage requirements, since only the matrix elements that are populated are retained and the diagonal matrix elements are the backscatter intensities. Thus, a single channel intensity product would yield only one matrix element and the storage needs would not change.</w:t>
      </w:r>
    </w:p>
    <w:p>
      <w:pPr>
        <w:pStyle w:val="Textkrper"/>
      </w:pPr>
      <w:r>
        <w:t xml:space="preserve">In order to ease the data structure and the metadata in between C3 and C2, Eq. </w:t>
      </w:r>
      <w:hyperlink w:anchor="eq:sar-pol-covmat-eq1">
        <w:r>
          <w:rPr>
            <w:rStyle w:val="Hyperlink"/>
          </w:rPr>
          <w:t xml:space="preserve">1</w:t>
        </w:r>
      </w:hyperlink>
      <w:r>
        <w:t xml:space="preserve"> </w:t>
      </w:r>
      <w:r>
        <w:t xml:space="preserve">should be redefined as Eq. </w:t>
      </w:r>
      <w:hyperlink w:anchor="eq:sar-pol-covmat-eq5">
        <w:r>
          <w:rPr>
            <w:rStyle w:val="Hyperlink"/>
          </w:rPr>
          <w:t xml:space="preserve">5</w:t>
        </w:r>
      </w:hyperlink>
      <w:r>
        <w:t xml:space="preserve">. Users will have to take care of this non-standard representation when applying their polarimetric analytic tools. “&lt; &gt;” means that ARD matrix elements are speckle filtered. Eq. </w:t>
      </w:r>
      <w:hyperlink w:anchor="eq:sar-pol-covmat-eq5">
        <w:r>
          <w:rPr>
            <w:rStyle w:val="Hyperlink"/>
          </w:rPr>
          <w:t xml:space="preserve">5</w:t>
        </w:r>
      </w:hyperlink>
      <w:r>
        <w:t xml:space="preserve"> </w:t>
      </w:r>
      <w:r>
        <w:t xml:space="preserve">is valid both for dual-linear and fully polarimetric dataquad polarization.</w:t>
      </w:r>
    </w:p>
    <w:p>
      <w:pPr>
        <w:pStyle w:val="Textkrper"/>
      </w:pPr>
      <w:bookmarkStart w:id="296" w:name="eq:sar-pol-covmat-eq5"/>
      <m:oMathPara>
        <m:oMathParaPr>
          <m:jc m:val="center"/>
        </m:oMathParaPr>
        <m:oMath>
          <m:r>
            <m:rPr>
              <m:nor/>
              <m:sty m:val="p"/>
            </m:rPr>
            <m:t>C3 modified:</m:t>
          </m:r>
          <m:r>
            <m:t> </m:t>
          </m:r>
          <m:r>
            <m:t>C</m:t>
          </m:r>
          <m:sSub>
            <m:e>
              <m:r>
                <m:t>3</m:t>
              </m:r>
            </m:e>
            <m:sub>
              <m:r>
                <m:t>m</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p"/>
                      </m:rPr>
                      <m:t>⟨</m:t>
                    </m:r>
                    <m:r>
                      <m:rPr>
                        <m:sty m:val="b"/>
                      </m:rPr>
                      <m:t>H</m:t>
                    </m:r>
                    <m:r>
                      <m:rPr>
                        <m:sty m:val="b"/>
                      </m:rPr>
                      <m:t>H</m:t>
                    </m:r>
                    <m:sSup>
                      <m:e>
                        <m:r>
                          <m:rPr>
                            <m:sty m:val="p"/>
                          </m:rPr>
                          <m:t>|</m:t>
                        </m:r>
                      </m:e>
                      <m:sup>
                        <m:r>
                          <m:t>2</m:t>
                        </m:r>
                      </m:sup>
                    </m:sSup>
                    <m:r>
                      <m:rPr>
                        <m:sty m:val="p"/>
                      </m:rPr>
                      <m:t>⟩</m:t>
                    </m:r>
                  </m:e>
                  <m:e>
                    <m:r>
                      <m:rPr>
                        <m:sty m:val="p"/>
                      </m:rPr>
                      <m:t>⟨</m:t>
                    </m:r>
                    <m:r>
                      <m:rPr>
                        <m:sty m:val="b"/>
                      </m:rPr>
                      <m:t>H</m:t>
                    </m:r>
                    <m:r>
                      <m:rPr>
                        <m:sty m:val="b"/>
                      </m:rPr>
                      <m:t>H</m:t>
                    </m:r>
                    <m:r>
                      <m:rPr>
                        <m:sty m:val="p"/>
                      </m:rPr>
                      <m:t>⋅</m:t>
                    </m:r>
                    <m:r>
                      <m:rPr>
                        <m:sty m:val="b"/>
                      </m:rPr>
                      <m:t>H</m:t>
                    </m:r>
                    <m:sSup>
                      <m:e>
                        <m:r>
                          <m:rPr>
                            <m:sty m:val="b"/>
                          </m:rPr>
                          <m:t>V</m:t>
                        </m:r>
                      </m:e>
                      <m:sup>
                        <m:r>
                          <m:rPr>
                            <m:sty m:val="p"/>
                          </m:rPr>
                          <m:t>*</m:t>
                        </m:r>
                      </m:sup>
                    </m:sSup>
                    <m:r>
                      <m:rPr>
                        <m:sty m:val="p"/>
                      </m:rPr>
                      <m:t>⟩</m:t>
                    </m:r>
                  </m:e>
                  <m:e>
                    <m:r>
                      <m:rPr>
                        <m:sty m:val="p"/>
                      </m:rPr>
                      <m:t>⟨</m:t>
                    </m:r>
                    <m:r>
                      <m:rPr>
                        <m:sty m:val="b"/>
                      </m:rPr>
                      <m:t>H</m:t>
                    </m:r>
                    <m:r>
                      <m:rPr>
                        <m:sty m:val="b"/>
                      </m:rPr>
                      <m:t>H</m:t>
                    </m:r>
                    <m:r>
                      <m:rPr>
                        <m:sty m:val="p"/>
                      </m:rPr>
                      <m:t>⋅</m:t>
                    </m:r>
                    <m:r>
                      <m:rPr>
                        <m:sty m:val="b"/>
                      </m:rPr>
                      <m:t>V</m:t>
                    </m:r>
                    <m:sSup>
                      <m:e>
                        <m:r>
                          <m:rPr>
                            <m:sty m:val="b"/>
                          </m:rPr>
                          <m:t>V</m:t>
                        </m:r>
                      </m:e>
                      <m:sup>
                        <m:r>
                          <m:rPr>
                            <m:sty m:val="p"/>
                          </m:rPr>
                          <m:t>*</m:t>
                        </m:r>
                      </m:sup>
                    </m:sSup>
                    <m:r>
                      <m:rPr>
                        <m:sty m:val="p"/>
                      </m:rPr>
                      <m:t>⟩</m:t>
                    </m:r>
                  </m:e>
                </m:mr>
                <m:mr>
                  <m:e>
                    <m:r>
                      <m:rPr>
                        <m:sty m:val="p"/>
                      </m:rPr>
                      <m:t>⟨</m:t>
                    </m:r>
                    <m:r>
                      <m:t>H</m:t>
                    </m:r>
                    <m:r>
                      <m:t>V</m:t>
                    </m:r>
                    <m:r>
                      <m:rPr>
                        <m:sty m:val="p"/>
                      </m:rPr>
                      <m:t>⋅</m:t>
                    </m:r>
                    <m:r>
                      <m:t>H</m:t>
                    </m:r>
                    <m:sSup>
                      <m:e>
                        <m:r>
                          <m:t>H</m:t>
                        </m:r>
                      </m:e>
                      <m:sup>
                        <m:r>
                          <m:rPr>
                            <m:sty m:val="p"/>
                          </m:rPr>
                          <m:t>*</m:t>
                        </m:r>
                      </m:sup>
                    </m:sSup>
                    <m:r>
                      <m:rPr>
                        <m:sty m:val="p"/>
                      </m:rPr>
                      <m:t>⟩</m:t>
                    </m:r>
                  </m:e>
                  <m:e>
                    <m:r>
                      <m:rPr>
                        <m:sty m:val="p"/>
                      </m:rPr>
                      <m:t>⟨</m:t>
                    </m:r>
                    <m:r>
                      <m:rPr>
                        <m:sty m:val="p"/>
                      </m:rPr>
                      <m:t>|</m:t>
                    </m:r>
                    <m:r>
                      <m:rPr>
                        <m:sty m:val="b"/>
                      </m:rPr>
                      <m:t>H</m:t>
                    </m:r>
                    <m:r>
                      <m:rPr>
                        <m:sty m:val="b"/>
                      </m:rPr>
                      <m:t>V</m:t>
                    </m:r>
                    <m:sSup>
                      <m:e>
                        <m:r>
                          <m:rPr>
                            <m:sty m:val="p"/>
                          </m:rPr>
                          <m:t>|</m:t>
                        </m:r>
                      </m:e>
                      <m:sup>
                        <m:r>
                          <m:t>2</m:t>
                        </m:r>
                      </m:sup>
                    </m:sSup>
                    <m:r>
                      <m:rPr>
                        <m:sty m:val="p"/>
                      </m:rPr>
                      <m:t>⟩</m:t>
                    </m:r>
                  </m:e>
                  <m:e>
                    <m:r>
                      <m:rPr>
                        <m:sty m:val="p"/>
                      </m:rPr>
                      <m:t>⟨</m:t>
                    </m:r>
                    <m:r>
                      <m:rPr>
                        <m:sty m:val="b"/>
                      </m:rPr>
                      <m:t>H</m:t>
                    </m:r>
                    <m:r>
                      <m:rPr>
                        <m:sty m:val="b"/>
                      </m:rPr>
                      <m:t>V</m:t>
                    </m:r>
                    <m:r>
                      <m:rPr>
                        <m:sty m:val="p"/>
                      </m:rPr>
                      <m:t>⋅</m:t>
                    </m:r>
                    <m:r>
                      <m:rPr>
                        <m:sty m:val="b"/>
                      </m:rPr>
                      <m:t>V</m:t>
                    </m:r>
                    <m:sSup>
                      <m:e>
                        <m:r>
                          <m:rPr>
                            <m:sty m:val="b"/>
                          </m:rPr>
                          <m:t>V</m:t>
                        </m:r>
                      </m:e>
                      <m:sup>
                        <m:r>
                          <m:rPr>
                            <m:sty m:val="p"/>
                          </m:rPr>
                          <m:t>*</m:t>
                        </m:r>
                      </m:sup>
                    </m:sSup>
                    <m:r>
                      <m:rPr>
                        <m:sty m:val="p"/>
                      </m:rPr>
                      <m:t>⟩</m:t>
                    </m:r>
                  </m:e>
                </m:mr>
                <m:mr>
                  <m:e>
                    <m:r>
                      <m:rPr>
                        <m:sty m:val="p"/>
                      </m:rPr>
                      <m:t>⟨</m:t>
                    </m:r>
                    <m:r>
                      <m:t>V</m:t>
                    </m:r>
                    <m:r>
                      <m:t>V</m:t>
                    </m:r>
                    <m:r>
                      <m:rPr>
                        <m:sty m:val="p"/>
                      </m:rPr>
                      <m:t>⋅</m:t>
                    </m:r>
                    <m:r>
                      <m:t>H</m:t>
                    </m:r>
                    <m:sSup>
                      <m:e>
                        <m:r>
                          <m:t>H</m:t>
                        </m:r>
                      </m:e>
                      <m:sup>
                        <m:r>
                          <m:rPr>
                            <m:sty m:val="p"/>
                          </m:rPr>
                          <m:t>*</m:t>
                        </m:r>
                      </m:sup>
                    </m:sSup>
                    <m:r>
                      <m:rPr>
                        <m:sty m:val="p"/>
                      </m:rPr>
                      <m:t>⟩</m:t>
                    </m:r>
                  </m:e>
                  <m:e>
                    <m:r>
                      <m:rPr>
                        <m:sty m:val="p"/>
                      </m:rPr>
                      <m:t>⟨</m:t>
                    </m:r>
                    <m:r>
                      <m:t>V</m:t>
                    </m:r>
                    <m:r>
                      <m:t>V</m:t>
                    </m:r>
                    <m:r>
                      <m:rPr>
                        <m:sty m:val="p"/>
                      </m:rPr>
                      <m:t>⋅</m:t>
                    </m:r>
                    <m:r>
                      <m:t>H</m:t>
                    </m:r>
                    <m:sSup>
                      <m:e>
                        <m:r>
                          <m:t>V</m:t>
                        </m:r>
                      </m:e>
                      <m:sup>
                        <m:r>
                          <m:rPr>
                            <m:sty m:val="p"/>
                          </m:rPr>
                          <m:t>*</m:t>
                        </m:r>
                      </m:sup>
                    </m:sSup>
                    <m:r>
                      <m:rPr>
                        <m:sty m:val="p"/>
                      </m:rPr>
                      <m:t>⟩</m:t>
                    </m:r>
                  </m:e>
                  <m:e>
                    <m:r>
                      <m:rPr>
                        <m:sty m:val="p"/>
                      </m:rPr>
                      <m:t>⟨</m:t>
                    </m:r>
                    <m:r>
                      <m:rPr>
                        <m:sty m:val="p"/>
                      </m:rPr>
                      <m:t>|</m:t>
                    </m:r>
                    <m:r>
                      <m:rPr>
                        <m:sty m:val="b"/>
                      </m:rPr>
                      <m:t>V</m:t>
                    </m:r>
                    <m:r>
                      <m:rPr>
                        <m:sty m:val="b"/>
                      </m:rPr>
                      <m:t>V</m:t>
                    </m:r>
                    <m:sSup>
                      <m:e>
                        <m:r>
                          <m:rPr>
                            <m:sty m:val="p"/>
                          </m:rPr>
                          <m:t>|</m:t>
                        </m:r>
                      </m:e>
                      <m:sup>
                        <m:r>
                          <m:t>2</m:t>
                        </m:r>
                      </m:sup>
                    </m:sSup>
                    <m:r>
                      <m:rPr>
                        <m:sty m:val="p"/>
                      </m:rPr>
                      <m:t>⟩</m:t>
                    </m:r>
                  </m:e>
                </m:mr>
              </m:m>
            </m:e>
          </m:d>
          <m:r>
            <m:t>  </m:t>
          </m:r>
          <m:r>
            <m:rPr>
              <m:sty m:val="p"/>
            </m:rPr>
            <m:t>(</m:t>
          </m:r>
          <m:r>
            <m:t>5</m:t>
          </m:r>
          <m:r>
            <m:rPr>
              <m:sty m:val="p"/>
            </m:rPr>
            <m:t>)</m:t>
          </m:r>
        </m:oMath>
      </m:oMathPara>
      <w:bookmarkEnd w:id="296"/>
    </w:p>
    <w:p>
      <w:pPr>
        <w:pStyle w:val="FirstParagraph"/>
      </w:pPr>
      <w:r>
        <w:t xml:space="preserve">Furthermore, for compact polarimetric data, it is recommended to store them, by simple transformation, under the circular-circular basis, since RR and RL polarizations (Eq. </w:t>
      </w:r>
      <w:hyperlink w:anchor="eq:sar-pol-covmat-eq6">
        <w:r>
          <w:rPr>
            <w:rStyle w:val="Hyperlink"/>
          </w:rPr>
          <w:t xml:space="preserve">6</w:t>
        </w:r>
      </w:hyperlink>
      <w:r>
        <w:t xml:space="preserve">) permit faster and more intuitive RGB visualizations (R=RR, G=RR/(RR+RL), B= RL).</w:t>
      </w:r>
    </w:p>
    <w:p>
      <w:pPr>
        <w:pStyle w:val="Textkrper"/>
      </w:pPr>
      <w:bookmarkStart w:id="297" w:name="eq:sar-pol-covmat-eq6"/>
      <m:oMathPara>
        <m:oMathParaPr>
          <m:jc m:val="center"/>
        </m:oMathParaPr>
        <m:oMath>
          <m:r>
            <m:rPr>
              <m:nor/>
              <m:sty m:val="p"/>
            </m:rPr>
            <m:t>CH-CV (C2 circular):</m:t>
          </m:r>
          <m:r>
            <m:t> </m:t>
          </m:r>
          <m:r>
            <m:t>C</m:t>
          </m:r>
          <m:sSub>
            <m:e>
              <m:r>
                <m:t>2</m:t>
              </m:r>
            </m:e>
            <m:sub>
              <m:r>
                <m:t>c</m:t>
              </m:r>
            </m:sub>
          </m:sSub>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p"/>
                      </m:rPr>
                      <m:t>|</m:t>
                    </m:r>
                    <m:r>
                      <m:rPr>
                        <m:sty m:val="b"/>
                      </m:rPr>
                      <m:t>R</m:t>
                    </m:r>
                    <m:r>
                      <m:rPr>
                        <m:sty m:val="b"/>
                      </m:rPr>
                      <m:t>R</m:t>
                    </m:r>
                    <m:sSup>
                      <m:e>
                        <m:r>
                          <m:rPr>
                            <m:sty m:val="p"/>
                          </m:rPr>
                          <m:t>|</m:t>
                        </m:r>
                      </m:e>
                      <m:sup>
                        <m:r>
                          <m:t>2</m:t>
                        </m:r>
                      </m:sup>
                    </m:sSup>
                    <m:r>
                      <m:rPr>
                        <m:sty m:val="p"/>
                      </m:rPr>
                      <m:t>⟩</m:t>
                    </m:r>
                  </m:e>
                  <m:e>
                    <m:r>
                      <m:rPr>
                        <m:sty m:val="p"/>
                      </m:rPr>
                      <m:t>⟨</m:t>
                    </m:r>
                    <m:r>
                      <m:rPr>
                        <m:sty m:val="b"/>
                      </m:rPr>
                      <m:t>R</m:t>
                    </m:r>
                    <m:r>
                      <m:rPr>
                        <m:sty m:val="b"/>
                      </m:rPr>
                      <m:t>R</m:t>
                    </m:r>
                    <m:r>
                      <m:rPr>
                        <m:sty m:val="p"/>
                      </m:rPr>
                      <m:t>⋅</m:t>
                    </m:r>
                    <m:r>
                      <m:rPr>
                        <m:sty m:val="b"/>
                      </m:rPr>
                      <m:t>R</m:t>
                    </m:r>
                    <m:sSup>
                      <m:e>
                        <m:r>
                          <m:rPr>
                            <m:sty m:val="b"/>
                          </m:rPr>
                          <m:t>¬</m:t>
                        </m:r>
                      </m:e>
                      <m:sup>
                        <m:r>
                          <m:rPr>
                            <m:sty m:val="p"/>
                          </m:rPr>
                          <m:t>*</m:t>
                        </m:r>
                      </m:sup>
                    </m:sSup>
                    <m:r>
                      <m:rPr>
                        <m:sty m:val="p"/>
                      </m:rPr>
                      <m:t>⟩</m:t>
                    </m:r>
                  </m:e>
                </m:mr>
                <m:mr>
                  <m:e>
                    <m:r>
                      <m:rPr>
                        <m:sty m:val="p"/>
                      </m:rPr>
                      <m:t>⟨</m:t>
                    </m:r>
                    <m:r>
                      <m:t>R</m:t>
                    </m:r>
                    <m:r>
                      <m:t>L</m:t>
                    </m:r>
                    <m:r>
                      <m:rPr>
                        <m:sty m:val="p"/>
                      </m:rPr>
                      <m:t>⋅</m:t>
                    </m:r>
                    <m:r>
                      <m:t>R</m:t>
                    </m:r>
                    <m:sSup>
                      <m:e>
                        <m:r>
                          <m:t>R</m:t>
                        </m:r>
                      </m:e>
                      <m:sup>
                        <m:r>
                          <m:rPr>
                            <m:sty m:val="p"/>
                          </m:rPr>
                          <m:t>*</m:t>
                        </m:r>
                      </m:sup>
                    </m:sSup>
                    <m:r>
                      <m:rPr>
                        <m:sty m:val="p"/>
                      </m:rPr>
                      <m:t>⟩</m:t>
                    </m:r>
                  </m:e>
                  <m:e>
                    <m:r>
                      <m:rPr>
                        <m:sty m:val="p"/>
                      </m:rPr>
                      <m:t>⟨</m:t>
                    </m:r>
                    <m:r>
                      <m:rPr>
                        <m:sty m:val="p"/>
                      </m:rPr>
                      <m:t>|</m:t>
                    </m:r>
                    <m:r>
                      <m:rPr>
                        <m:sty m:val="b"/>
                      </m:rPr>
                      <m:t>R</m:t>
                    </m:r>
                    <m:r>
                      <m:rPr>
                        <m:sty m:val="b"/>
                      </m:rPr>
                      <m:t>L</m:t>
                    </m:r>
                    <m:sSup>
                      <m:e>
                        <m:r>
                          <m:rPr>
                            <m:sty m:val="p"/>
                          </m:rPr>
                          <m:t>|</m:t>
                        </m:r>
                      </m:e>
                      <m:sup>
                        <m:r>
                          <m:t>2</m:t>
                        </m:r>
                      </m:sup>
                    </m:sSup>
                    <m:r>
                      <m:rPr>
                        <m:sty m:val="p"/>
                      </m:rPr>
                      <m:t>⟩</m:t>
                    </m:r>
                  </m:e>
                </m:mr>
              </m:m>
            </m:e>
          </m:d>
          <m:r>
            <m:t>  </m:t>
          </m:r>
          <m:r>
            <m:rPr>
              <m:sty m:val="p"/>
            </m:rPr>
            <m:t>(</m:t>
          </m:r>
          <m:r>
            <m:t>6</m:t>
          </m:r>
          <m:r>
            <m:rPr>
              <m:sty m:val="p"/>
            </m:rPr>
            <m:t>)</m:t>
          </m:r>
        </m:oMath>
      </m:oMathPara>
      <w:bookmarkEnd w:id="297"/>
    </w:p>
    <w:bookmarkEnd w:id="298"/>
    <w:bookmarkStart w:id="303" w:name="sec:annex-sar-pol-prd"/>
    <w:p>
      <w:pPr>
        <w:pStyle w:val="berschrift3"/>
      </w:pPr>
      <w:r>
        <w:t xml:space="preserve">Polarimetric Radar Decomposition (PRD)</w:t>
      </w:r>
    </w:p>
    <w:p>
      <w:pPr>
        <w:pStyle w:val="FirstParagraph"/>
      </w:pPr>
      <w:r>
        <w:t xml:space="preserve">Different methodologies allow decomposition of coherent dual-polarization data or fully polarimetric data to meaningful components summarizing the scattering processing with the interacting media. Decomposition techniques are divided in two categories: Coherent and incoherent.</w:t>
      </w:r>
    </w:p>
    <w:bookmarkStart w:id="300" w:name="coherent-decompositions"/>
    <w:p>
      <w:pPr>
        <w:pStyle w:val="berschrift4"/>
      </w:pPr>
      <w:r>
        <w:t xml:space="preserve">Coherent decompositions</w:t>
      </w:r>
    </w:p>
    <w:p>
      <w:pPr>
        <w:pStyle w:val="FirstParagraph"/>
      </w:pPr>
      <w:r>
        <w:t xml:space="preserve">Coherent decompositions express the scattering matrix by the summation of elementary objects of known signature (ex.: a sphere, a diplane, a cylinder, a helix, …). They are used mainly to describe point targets which are coherent. As for examples, coherent PRD could be (but not limited to):</w:t>
      </w:r>
    </w:p>
    <w:p>
      <w:pPr>
        <w:pStyle w:val="Compact"/>
        <w:numPr>
          <w:ilvl w:val="0"/>
          <w:numId w:val="1101"/>
        </w:numPr>
      </w:pPr>
      <w:r>
        <w:t xml:space="preserve">Pauli decomposition (3 layers)</w:t>
      </w:r>
    </w:p>
    <w:p>
      <w:pPr>
        <w:pStyle w:val="Compact"/>
        <w:numPr>
          <w:ilvl w:val="0"/>
          <w:numId w:val="1102"/>
        </w:numPr>
      </w:pPr>
      <m:oMath>
        <m:r>
          <m:rPr>
            <m:sty m:val="p"/>
          </m:rPr>
          <m:t>|</m:t>
        </m:r>
        <m:r>
          <m:t>α</m:t>
        </m:r>
        <m:sSup>
          <m:e>
            <m:r>
              <m:rPr>
                <m:sty m:val="p"/>
              </m:rPr>
              <m:t>|</m:t>
            </m:r>
          </m:e>
          <m:sup>
            <m:r>
              <m:t>2</m:t>
            </m:r>
          </m:sup>
        </m:sSup>
      </m:oMath>
      <w:r>
        <w:t xml:space="preserve">: sphere (odd-bounce interaction) [Intensity]</w:t>
      </w:r>
    </w:p>
    <w:p>
      <w:pPr>
        <w:pStyle w:val="Compact"/>
        <w:numPr>
          <w:ilvl w:val="0"/>
          <w:numId w:val="1102"/>
        </w:numPr>
      </w:pPr>
      <m:oMath>
        <m:r>
          <m:rPr>
            <m:sty m:val="p"/>
          </m:rPr>
          <m:t>|</m:t>
        </m:r>
        <m:r>
          <m:t>β</m:t>
        </m:r>
        <m:sSup>
          <m:e>
            <m:r>
              <m:rPr>
                <m:sty m:val="p"/>
              </m:rPr>
              <m:t>|</m:t>
            </m:r>
          </m:e>
          <m:sup>
            <m:r>
              <m:t>2</m:t>
            </m:r>
          </m:sup>
        </m:sSup>
      </m:oMath>
      <w:r>
        <w:t xml:space="preserve">: 0° diplane (even-bounce interaction) [Intensity]</w:t>
      </w:r>
    </w:p>
    <w:p>
      <w:pPr>
        <w:pStyle w:val="Compact"/>
        <w:numPr>
          <w:ilvl w:val="0"/>
          <w:numId w:val="1102"/>
        </w:numPr>
      </w:pPr>
      <m:oMath>
        <m:r>
          <m:rPr>
            <m:sty m:val="p"/>
          </m:rPr>
          <m:t>|</m:t>
        </m:r>
        <m:r>
          <m:t>γ</m:t>
        </m:r>
        <m:sSup>
          <m:e>
            <m:r>
              <m:rPr>
                <m:sty m:val="p"/>
              </m:rPr>
              <m:t>|</m:t>
            </m:r>
          </m:e>
          <m:sup>
            <m:r>
              <m:t>2</m:t>
            </m:r>
          </m:sup>
        </m:sSup>
      </m:oMath>
      <w:r>
        <w:t xml:space="preserve">: 45° diplane (volumetric interaction) [Intensity]</w:t>
      </w:r>
    </w:p>
    <w:p>
      <w:pPr>
        <w:pStyle w:val="Compact"/>
        <w:numPr>
          <w:ilvl w:val="0"/>
          <w:numId w:val="1103"/>
        </w:numPr>
      </w:pPr>
      <w:r>
        <w:t xml:space="preserve">Krogager decomposition (5 layers)</w:t>
      </w:r>
      <w:r>
        <w:t xml:space="preserve"> </w:t>
      </w:r>
      <w:r>
        <w:t xml:space="preserve">(</w:t>
      </w:r>
      <w:hyperlink w:anchor="ref-krogager1993">
        <w:r>
          <w:rPr>
            <w:rStyle w:val="Hyperlink"/>
          </w:rPr>
          <w:t xml:space="preserve">Krogager et al. 1993</w:t>
        </w:r>
      </w:hyperlink>
      <w:r>
        <w:t xml:space="preserve">)</w:t>
      </w:r>
    </w:p>
    <w:p>
      <w:pPr>
        <w:pStyle w:val="Compact"/>
        <w:numPr>
          <w:ilvl w:val="0"/>
          <w:numId w:val="1104"/>
        </w:numPr>
      </w:pPr>
      <m:oMath>
        <m:r>
          <m:rPr>
            <m:sty m:val="p"/>
          </m:rPr>
          <m:t>|</m:t>
        </m:r>
        <m:sSub>
          <m:e>
            <m:r>
              <m:t>κ</m:t>
            </m:r>
          </m:e>
          <m:sub>
            <m:r>
              <m:t>σ</m:t>
            </m:r>
          </m:sub>
        </m:sSub>
        <m:sSup>
          <m:e>
            <m:r>
              <m:rPr>
                <m:sty m:val="p"/>
              </m:rPr>
              <m:t>|</m:t>
            </m:r>
          </m:e>
          <m:sup>
            <m:r>
              <m:t>2</m:t>
            </m:r>
          </m:sup>
        </m:sSup>
      </m:oMath>
      <w:r>
        <w:t xml:space="preserve"> </w:t>
      </w:r>
      <w:r>
        <w:t xml:space="preserve">: sphere (odd-bounce interaction) [Intensity]</w:t>
      </w:r>
    </w:p>
    <w:p>
      <w:pPr>
        <w:pStyle w:val="Compact"/>
        <w:numPr>
          <w:ilvl w:val="0"/>
          <w:numId w:val="1104"/>
        </w:numPr>
      </w:pPr>
      <m:oMath>
        <m:r>
          <m:rPr>
            <m:sty m:val="p"/>
          </m:rPr>
          <m:t>|</m:t>
        </m:r>
        <m:sSub>
          <m:e>
            <m:r>
              <m:t>κ</m:t>
            </m:r>
          </m:e>
          <m:sub>
            <m:r>
              <m:t>δ</m:t>
            </m:r>
          </m:sub>
        </m:sSub>
        <m:sSup>
          <m:e>
            <m:r>
              <m:rPr>
                <m:sty m:val="p"/>
              </m:rPr>
              <m:t>|</m:t>
            </m:r>
          </m:e>
          <m:sup>
            <m:r>
              <m:t>2</m:t>
            </m:r>
          </m:sup>
        </m:sSup>
      </m:oMath>
      <w:r>
        <w:t xml:space="preserve"> </w:t>
      </w:r>
      <w:r>
        <w:t xml:space="preserve">: diplane (odd-bounce interaction) [Intensity]</w:t>
      </w:r>
    </w:p>
    <w:p>
      <w:pPr>
        <w:pStyle w:val="Compact"/>
        <w:numPr>
          <w:ilvl w:val="0"/>
          <w:numId w:val="1104"/>
        </w:numPr>
      </w:pPr>
      <m:oMath>
        <m:r>
          <m:rPr>
            <m:sty m:val="p"/>
          </m:rPr>
          <m:t>|</m:t>
        </m:r>
        <m:sSub>
          <m:e>
            <m:r>
              <m:t>κ</m:t>
            </m:r>
          </m:e>
          <m:sub>
            <m:r>
              <m:t>η</m:t>
            </m:r>
          </m:sub>
        </m:sSub>
        <m:sSup>
          <m:e>
            <m:r>
              <m:rPr>
                <m:sty m:val="p"/>
              </m:rPr>
              <m:t>|</m:t>
            </m:r>
          </m:e>
          <m:sup>
            <m:r>
              <m:t>2</m:t>
            </m:r>
          </m:sup>
        </m:sSup>
      </m:oMath>
      <w:r>
        <w:t xml:space="preserve"> </w:t>
      </w:r>
      <w:r>
        <w:t xml:space="preserve">: helix [Intensity]</w:t>
      </w:r>
    </w:p>
    <w:p>
      <w:pPr>
        <w:pStyle w:val="Compact"/>
        <w:numPr>
          <w:ilvl w:val="0"/>
          <w:numId w:val="1104"/>
        </w:numPr>
      </w:pPr>
      <m:oMath>
        <m:r>
          <m:t>θ</m:t>
        </m:r>
      </m:oMath>
      <w:r>
        <w:t xml:space="preserve">: orientation angle [degrees]</w:t>
      </w:r>
    </w:p>
    <w:p>
      <w:pPr>
        <w:pStyle w:val="Compact"/>
        <w:numPr>
          <w:ilvl w:val="0"/>
          <w:numId w:val="1104"/>
        </w:numPr>
      </w:pPr>
      <m:oMath>
        <m:sSub>
          <m:e>
            <m:r>
              <m:rPr>
                <m:sty m:val="p"/>
              </m:rPr>
              <m:t>Φ</m:t>
            </m:r>
          </m:e>
          <m:sub>
            <m:r>
              <m:t>s</m:t>
            </m:r>
          </m:sub>
        </m:sSub>
      </m:oMath>
      <w:r>
        <w:t xml:space="preserve">: sphere to diplane angle [degrees]</w:t>
      </w:r>
    </w:p>
    <w:p>
      <w:pPr>
        <w:pStyle w:val="Compact"/>
        <w:numPr>
          <w:ilvl w:val="0"/>
          <w:numId w:val="1105"/>
        </w:numPr>
      </w:pPr>
      <w:r>
        <w:t xml:space="preserve">Cameron (nine classes) – non-dimensional layers</w:t>
      </w:r>
      <w:r>
        <w:t xml:space="preserve"> </w:t>
      </w:r>
      <w:r>
        <w:t xml:space="preserve">(</w:t>
      </w:r>
      <w:hyperlink w:anchor="ref-cameron1996">
        <w:r>
          <w:rPr>
            <w:rStyle w:val="Hyperlink"/>
          </w:rPr>
          <w:t xml:space="preserve">Cameron et al. 1996</w:t>
        </w:r>
      </w:hyperlink>
      <w:r>
        <w:t xml:space="preserve">)</w:t>
      </w:r>
    </w:p>
    <w:bookmarkStart w:id="299" w:name="tbl:sar-pol-prd-tbl1"/>
    <w:p>
      <w:pPr>
        <w:pStyle w:val="TableCaption"/>
      </w:pPr>
      <w:r>
        <w:t xml:space="preserve">Table 2: Elementary objects of known scattering signature</w:t>
      </w:r>
    </w:p>
    <w:tbl>
      <w:tblPr>
        <w:tblStyle w:val="Table"/>
        <w:tblW w:type="auto" w:w="0"/>
        <w:tblLook w:firstRow="1" w:lastRow="0" w:firstColumn="0" w:lastColumn="0" w:noHBand="0" w:noVBand="0" w:val="0020"/>
        <w:tblCaption w:val="Table 2: Elementary objects of known scattering signature"/>
      </w:tblPr>
      <w:tblGrid>
        <w:gridCol w:w="3960"/>
        <w:gridCol w:w="3960"/>
      </w:tblGrid>
      <w:tr>
        <w:trPr>
          <w:tblHeader w:val="on"/>
        </w:trPr>
        <w:tc>
          <w:tcPr/>
          <w:p>
            <w:pPr>
              <w:pStyle w:val="Compact"/>
              <w:jc w:val="left"/>
            </w:pPr>
            <w:r>
              <w:t xml:space="preserve">Classes</w:t>
            </w:r>
          </w:p>
        </w:tc>
        <w:tc>
          <w:tcPr/>
          <w:p>
            <w:pPr>
              <w:pStyle w:val="Compact"/>
              <w:jc w:val="center"/>
            </w:pPr>
            <w:r>
              <w:t xml:space="preserve">ID</w:t>
            </w:r>
          </w:p>
        </w:tc>
      </w:tr>
      <w:tr>
        <w:tc>
          <w:tcPr/>
          <w:p>
            <w:pPr>
              <w:pStyle w:val="Compact"/>
              <w:jc w:val="left"/>
            </w:pPr>
            <w:r>
              <w:t xml:space="preserve">Trihedral</w:t>
            </w:r>
          </w:p>
        </w:tc>
        <w:tc>
          <w:tcPr/>
          <w:p>
            <w:pPr>
              <w:pStyle w:val="Compact"/>
              <w:jc w:val="center"/>
            </w:pPr>
            <w:r>
              <w:t xml:space="preserve">1</w:t>
            </w:r>
          </w:p>
        </w:tc>
      </w:tr>
      <w:tr>
        <w:tc>
          <w:tcPr/>
          <w:p>
            <w:pPr>
              <w:pStyle w:val="Compact"/>
              <w:jc w:val="left"/>
            </w:pPr>
            <w:r>
              <w:t xml:space="preserve">Dihedral</w:t>
            </w:r>
          </w:p>
        </w:tc>
        <w:tc>
          <w:tcPr/>
          <w:p>
            <w:pPr>
              <w:pStyle w:val="Compact"/>
              <w:jc w:val="center"/>
            </w:pPr>
            <w:r>
              <w:t xml:space="preserve">2</w:t>
            </w:r>
          </w:p>
        </w:tc>
      </w:tr>
      <w:tr>
        <w:tc>
          <w:tcPr/>
          <w:p>
            <w:pPr>
              <w:pStyle w:val="Compact"/>
              <w:jc w:val="left"/>
            </w:pPr>
            <w:r>
              <w:t xml:space="preserve">Narrow Dihedral</w:t>
            </w:r>
          </w:p>
        </w:tc>
        <w:tc>
          <w:tcPr/>
          <w:p>
            <w:pPr>
              <w:pStyle w:val="Compact"/>
              <w:jc w:val="center"/>
            </w:pPr>
            <w:r>
              <w:t xml:space="preserve">3</w:t>
            </w:r>
          </w:p>
        </w:tc>
      </w:tr>
      <w:tr>
        <w:tc>
          <w:tcPr/>
          <w:p>
            <w:pPr>
              <w:pStyle w:val="Compact"/>
              <w:jc w:val="left"/>
            </w:pPr>
            <w:r>
              <w:t xml:space="preserve">Dipole</w:t>
            </w:r>
          </w:p>
        </w:tc>
        <w:tc>
          <w:tcPr/>
          <w:p>
            <w:pPr>
              <w:pStyle w:val="Compact"/>
              <w:jc w:val="center"/>
            </w:pPr>
            <w:r>
              <w:t xml:space="preserve">4</w:t>
            </w:r>
          </w:p>
        </w:tc>
      </w:tr>
      <w:tr>
        <w:tc>
          <w:tcPr/>
          <w:p>
            <w:pPr>
              <w:pStyle w:val="Compact"/>
              <w:jc w:val="left"/>
            </w:pPr>
            <w:r>
              <w:t xml:space="preserve">Cylinder</w:t>
            </w:r>
          </w:p>
        </w:tc>
        <w:tc>
          <w:tcPr/>
          <w:p>
            <w:pPr>
              <w:pStyle w:val="Compact"/>
              <w:jc w:val="center"/>
            </w:pPr>
            <w:r>
              <w:t xml:space="preserve">5</w:t>
            </w:r>
          </w:p>
        </w:tc>
      </w:tr>
      <w:tr>
        <w:tc>
          <w:tcPr/>
          <w:p>
            <w:pPr>
              <w:pStyle w:val="Compact"/>
              <w:jc w:val="left"/>
            </w:pPr>
            <w:r>
              <w:t xml:space="preserve">¼ wave</w:t>
            </w:r>
          </w:p>
        </w:tc>
        <w:tc>
          <w:tcPr/>
          <w:p>
            <w:pPr>
              <w:pStyle w:val="Compact"/>
              <w:jc w:val="center"/>
            </w:pPr>
            <w:r>
              <w:t xml:space="preserve">6</w:t>
            </w:r>
          </w:p>
        </w:tc>
      </w:tr>
      <w:tr>
        <w:tc>
          <w:tcPr/>
          <w:p>
            <w:pPr>
              <w:pStyle w:val="Compact"/>
              <w:jc w:val="left"/>
            </w:pPr>
            <w:r>
              <w:t xml:space="preserve">Right Helix</w:t>
            </w:r>
          </w:p>
        </w:tc>
        <w:tc>
          <w:tcPr/>
          <w:p>
            <w:pPr>
              <w:pStyle w:val="Compact"/>
              <w:jc w:val="center"/>
            </w:pPr>
            <w:r>
              <w:t xml:space="preserve">7</w:t>
            </w:r>
          </w:p>
        </w:tc>
      </w:tr>
      <w:tr>
        <w:tc>
          <w:tcPr/>
          <w:p>
            <w:pPr>
              <w:pStyle w:val="Compact"/>
              <w:jc w:val="left"/>
            </w:pPr>
            <w:r>
              <w:t xml:space="preserve">Left Helix</w:t>
            </w:r>
          </w:p>
        </w:tc>
        <w:tc>
          <w:tcPr/>
          <w:p>
            <w:pPr>
              <w:pStyle w:val="Compact"/>
              <w:jc w:val="center"/>
            </w:pPr>
            <w:r>
              <w:t xml:space="preserve">8</w:t>
            </w:r>
          </w:p>
        </w:tc>
      </w:tr>
      <w:tr>
        <w:tc>
          <w:tcPr/>
          <w:p>
            <w:pPr>
              <w:pStyle w:val="Compact"/>
              <w:jc w:val="left"/>
            </w:pPr>
            <w:r>
              <w:t xml:space="preserve">Asymmetrical</w:t>
            </w:r>
          </w:p>
        </w:tc>
        <w:tc>
          <w:tcPr/>
          <w:p>
            <w:pPr>
              <w:pStyle w:val="Compact"/>
              <w:jc w:val="center"/>
            </w:pPr>
            <w:r>
              <w:t xml:space="preserve">9</w:t>
            </w:r>
          </w:p>
        </w:tc>
      </w:tr>
    </w:tbl>
    <w:bookmarkEnd w:id="299"/>
    <w:bookmarkEnd w:id="300"/>
    <w:bookmarkStart w:id="302" w:name="incoherent-decompositions"/>
    <w:p>
      <w:pPr>
        <w:pStyle w:val="berschrift4"/>
      </w:pPr>
      <w:r>
        <w:t xml:space="preserve">Incoherent decompositions</w:t>
      </w:r>
    </w:p>
    <w:p>
      <w:pPr>
        <w:pStyle w:val="FirstParagraph"/>
      </w:pPr>
      <w:r>
        <w:t xml:space="preserve">Incoherent decompositions describe distributed targets in terms of scattering mechanisms and their diversity. They are generated from averaged Covariance, Coherence or Kennaugh matrices. As for examples, incoherent PRD could be (but not limited to):</w:t>
      </w:r>
    </w:p>
    <w:p>
      <w:pPr>
        <w:pStyle w:val="Compact"/>
        <w:numPr>
          <w:ilvl w:val="0"/>
          <w:numId w:val="1106"/>
        </w:numPr>
      </w:pPr>
      <w:r>
        <w:t xml:space="preserve">Based and saved on intensity of scattering mechanisms can be</w:t>
      </w:r>
      <w:r>
        <w:t xml:space="preserve"> </w:t>
      </w:r>
      <w:r>
        <w:t xml:space="preserve">(</w:t>
      </w:r>
      <w:hyperlink w:anchor="ref-freeman1998">
        <w:r>
          <w:rPr>
            <w:rStyle w:val="Hyperlink"/>
          </w:rPr>
          <w:t xml:space="preserve">Freeman and Durden 1998</w:t>
        </w:r>
      </w:hyperlink>
      <w:r>
        <w:t xml:space="preserve">;</w:t>
      </w:r>
      <w:r>
        <w:t xml:space="preserve"> </w:t>
      </w:r>
      <w:hyperlink w:anchor="ref-yamaguchi2011">
        <w:r>
          <w:rPr>
            <w:rStyle w:val="Hyperlink"/>
          </w:rPr>
          <w:t xml:space="preserve">Yamaguchi et al. 2011</w:t>
        </w:r>
      </w:hyperlink>
      <w:r>
        <w:t xml:space="preserve">;</w:t>
      </w:r>
      <w:r>
        <w:t xml:space="preserve"> </w:t>
      </w:r>
      <w:hyperlink w:anchor="ref-raney2012">
        <w:r>
          <w:rPr>
            <w:rStyle w:val="Hyperlink"/>
          </w:rPr>
          <w:t xml:space="preserve">Raney et al. 2012</w:t>
        </w:r>
      </w:hyperlink>
      <w:r>
        <w:t xml:space="preserve">)</w:t>
      </w:r>
    </w:p>
    <w:bookmarkStart w:id="301" w:name="tbl:sar-pol-prd-tbl2"/>
    <w:p>
      <w:pPr>
        <w:pStyle w:val="TableCaption"/>
      </w:pPr>
      <w:r>
        <w:t xml:space="preserve">Table 3: Incoherent Decompositions: Freeman-Durden, Yamaguchi, m-chi</w:t>
      </w:r>
    </w:p>
    <w:tbl>
      <w:tblPr>
        <w:tblStyle w:val="Table"/>
        <w:tblW w:type="auto" w:w="0"/>
        <w:tblLook w:firstRow="1" w:lastRow="0" w:firstColumn="0" w:lastColumn="0" w:noHBand="0" w:noVBand="0" w:val="0020"/>
        <w:tblCaption w:val="Table 3: Incoherent Decompositions: Freeman-Durden, Yamaguchi, m-chi"/>
      </w:tblPr>
      <w:tblGrid>
        <w:gridCol w:w="1980"/>
        <w:gridCol w:w="1980"/>
        <w:gridCol w:w="1980"/>
        <w:gridCol w:w="1980"/>
      </w:tblGrid>
      <w:tr>
        <w:trPr>
          <w:tblHeader w:val="on"/>
        </w:trPr>
        <w:tc>
          <w:tcPr/>
          <w:p>
            <w:pPr>
              <w:pStyle w:val="Compact"/>
              <w:jc w:val="left"/>
            </w:pPr>
            <w:r>
              <w:t xml:space="preserve">Level 2b - Layers [Intensity]</w:t>
            </w:r>
          </w:p>
        </w:tc>
        <w:tc>
          <w:tcPr/>
          <w:p>
            <w:pPr>
              <w:pStyle w:val="Compact"/>
              <w:jc w:val="center"/>
            </w:pPr>
            <w:r>
              <w:t xml:space="preserve">Freeman-Durden</w:t>
            </w:r>
          </w:p>
        </w:tc>
        <w:tc>
          <w:tcPr/>
          <w:p>
            <w:pPr>
              <w:pStyle w:val="Compact"/>
              <w:jc w:val="center"/>
            </w:pPr>
            <w:r>
              <w:t xml:space="preserve">Yamaguchi</w:t>
            </w:r>
          </w:p>
        </w:tc>
        <w:tc>
          <w:tcPr/>
          <w:p>
            <w:pPr>
              <w:pStyle w:val="Compact"/>
              <w:jc w:val="center"/>
            </w:pPr>
            <w:r>
              <w:t xml:space="preserve">m-chi</w:t>
            </w:r>
          </w:p>
        </w:tc>
      </w:tr>
      <w:tr>
        <w:tc>
          <w:tcPr/>
          <w:p>
            <w:pPr>
              <w:pStyle w:val="Compact"/>
              <w:jc w:val="left"/>
            </w:pPr>
            <w:r>
              <w:t xml:space="preserve">Odd-bounce (surface/trihedral)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Even-bounce (dihedral)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Random (volumetric)</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Helix</w:t>
            </w:r>
          </w:p>
        </w:tc>
        <w:tc>
          <w:tcPr/>
          <w:p>
            <w:pPr>
              <w:pStyle w:val="Compact"/>
            </w:pPr>
          </w:p>
        </w:tc>
        <w:tc>
          <w:tcPr/>
          <w:p>
            <w:pPr>
              <w:pStyle w:val="Compact"/>
              <w:jc w:val="center"/>
            </w:pPr>
            <w:r>
              <w:t xml:space="preserve">X</w:t>
            </w:r>
          </w:p>
        </w:tc>
        <w:tc>
          <w:tcPr/>
          <w:p>
            <w:pPr>
              <w:pStyle w:val="Compact"/>
            </w:pPr>
          </w:p>
        </w:tc>
      </w:tr>
    </w:tbl>
    <w:bookmarkEnd w:id="301"/>
    <w:p>
      <w:pPr>
        <w:pStyle w:val="Compact"/>
        <w:numPr>
          <w:ilvl w:val="0"/>
          <w:numId w:val="1107"/>
        </w:numPr>
      </w:pPr>
      <w:r>
        <w:t xml:space="preserve">Based on eigenvector-eigenvalue decomposition expressing the diversity of scattering mechanisms</w:t>
      </w:r>
      <w:r>
        <w:t xml:space="preserve"> </w:t>
      </w:r>
      <w:r>
        <w:t xml:space="preserve">(</w:t>
      </w:r>
      <w:hyperlink w:anchor="ref-cloude1996">
        <w:r>
          <w:rPr>
            <w:rStyle w:val="Hyperlink"/>
          </w:rPr>
          <w:t xml:space="preserve">Cloude and Pottier 1996</w:t>
        </w:r>
      </w:hyperlink>
      <w:r>
        <w:t xml:space="preserve">)</w:t>
      </w:r>
      <w:r>
        <w:t xml:space="preserve"> </w:t>
      </w:r>
      <w:r>
        <w:t xml:space="preserve">and types:</w:t>
      </w:r>
    </w:p>
    <w:p>
      <w:pPr>
        <w:pStyle w:val="Compact"/>
        <w:numPr>
          <w:ilvl w:val="0"/>
          <w:numId w:val="1108"/>
        </w:numPr>
      </w:pPr>
      <m:oMath>
        <m:r>
          <m:t>H</m:t>
        </m:r>
      </m:oMath>
      <w:r>
        <w:t xml:space="preserve"> </w:t>
      </w:r>
      <w:r>
        <w:t xml:space="preserve">: Entropy [ ] is the polarization diversity</w:t>
      </w:r>
    </w:p>
    <w:p>
      <w:pPr>
        <w:pStyle w:val="Compact"/>
        <w:numPr>
          <w:ilvl w:val="0"/>
          <w:numId w:val="1108"/>
        </w:numPr>
      </w:pPr>
      <m:oMath>
        <m:r>
          <m:t>A</m:t>
        </m:r>
      </m:oMath>
      <w:r>
        <w:t xml:space="preserve"> </w:t>
      </w:r>
      <w:r>
        <w:t xml:space="preserve">: Anisotropy [ ] is weighted difference between the 2ⁿᵈ and 3ʳᵈ eigenvalues</w:t>
      </w:r>
    </w:p>
    <w:p>
      <w:pPr>
        <w:pStyle w:val="Compact"/>
        <w:numPr>
          <w:ilvl w:val="0"/>
          <w:numId w:val="1108"/>
        </w:numPr>
      </w:pPr>
      <m:oMath>
        <m:r>
          <m:t>α</m:t>
        </m:r>
      </m:oMath>
      <w:r>
        <w:t xml:space="preserve"> </w:t>
      </w:r>
      <w:r>
        <w:t xml:space="preserve">: Odd-even bounce angle [Degrees]</w:t>
      </w:r>
    </w:p>
    <w:p>
      <w:pPr>
        <w:pStyle w:val="Compact"/>
        <w:numPr>
          <w:ilvl w:val="0"/>
          <w:numId w:val="1108"/>
        </w:numPr>
      </w:pPr>
      <m:oMath>
        <m:r>
          <m:t>β</m:t>
        </m:r>
      </m:oMath>
      <w:r>
        <w:t xml:space="preserve"> </w:t>
      </w:r>
      <w:r>
        <w:t xml:space="preserve">: orientation angle [Degrees]</w:t>
      </w:r>
    </w:p>
    <w:bookmarkEnd w:id="302"/>
    <w:bookmarkEnd w:id="303"/>
    <w:bookmarkStart w:id="312" w:name="sec:annex-sar-pol-examples"/>
    <w:p>
      <w:pPr>
        <w:pStyle w:val="berschrift3"/>
      </w:pPr>
      <w:r>
        <w:t xml:space="preserve">Polarimetric Radar Decomposition Product Examples</w:t>
      </w:r>
    </w:p>
    <w:p>
      <w:pPr>
        <w:pStyle w:val="FirstParagraph"/>
      </w:pPr>
      <w:r>
        <w:t xml:space="preserve">From fully polarimetric covariance matrix ARD format POL (Level-2a), it is possible to apply any version of the popular Yamaguchi methodology, which decomposes the polarimetric information under relative intensities of 4 scattering types: Odd bounce, Even bounce, Random (volume) and helix. Figure </w:t>
      </w:r>
      <w:hyperlink w:anchor="fig:sar-pol-examples-fig1">
        <w:r>
          <w:rPr>
            <w:rStyle w:val="Hyperlink"/>
          </w:rPr>
          <w:t xml:space="preserve">1</w:t>
        </w:r>
      </w:hyperlink>
      <w:r>
        <w:t xml:space="preserve">b shows HH intensity of a RADARSAT fully polarimetric acquired over a Spanish area. Decomposition using Yamaguchi methodology</w:t>
      </w:r>
      <w:r>
        <w:t xml:space="preserve"> </w:t>
      </w:r>
      <w:r>
        <w:t xml:space="preserve">(</w:t>
      </w:r>
      <w:hyperlink w:anchor="ref-yamaguchi2011">
        <w:r>
          <w:rPr>
            <w:rStyle w:val="Hyperlink"/>
          </w:rPr>
          <w:t xml:space="preserve">Yamaguchi et al. 2011</w:t>
        </w:r>
      </w:hyperlink>
      <w:r>
        <w:t xml:space="preserve">)</w:t>
      </w:r>
      <w:r>
        <w:t xml:space="preserve"> </w:t>
      </w:r>
      <w:r>
        <w:t xml:space="preserve">can be expressed in RGB colour composite (Figure </w:t>
      </w:r>
      <w:hyperlink w:anchor="fig:sar-pol-examples-fig1">
        <w:r>
          <w:rPr>
            <w:rStyle w:val="Hyperlink"/>
          </w:rPr>
          <w:t xml:space="preserve">1</w:t>
        </w:r>
      </w:hyperlink>
      <w:r>
        <w:t xml:space="preserve">c) where Red channel refers to even bounce scattering like urban area; Green channel is random scattering like vegetation; and Blue channel is odd bounce scattering like bare soil. Figure </w:t>
      </w:r>
      <w:hyperlink w:anchor="fig:sar-pol-examples-fig1">
        <w:r>
          <w:rPr>
            <w:rStyle w:val="Hyperlink"/>
          </w:rPr>
          <w:t xml:space="preserve">1</w:t>
        </w:r>
      </w:hyperlink>
      <w:r>
        <w:t xml:space="preserve">d is equivalent to c) where radiometric normalisation (terrain flattening) has been applied with the help of the DEM of the scene (Figure </w:t>
      </w:r>
      <w:hyperlink w:anchor="fig:sar-pol-examples-fig1">
        <w:r>
          <w:rPr>
            <w:rStyle w:val="Hyperlink"/>
          </w:rPr>
          <w:t xml:space="preserve">1</w:t>
        </w:r>
      </w:hyperlink>
      <w:r>
        <w:t xml:space="preserve">a).</w:t>
      </w:r>
    </w:p>
    <w:bookmarkStart w:id="307" w:name="fig:sar-pol-examples-fig1"/>
    <w:p>
      <w:pPr>
        <w:pStyle w:val="CaptionedFigure"/>
      </w:pPr>
      <w:r>
        <w:drawing>
          <wp:inline>
            <wp:extent cx="5724525" cy="5629275"/>
            <wp:effectExtent b="0" l="0" r="0" t="0"/>
            <wp:docPr descr="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 title="" id="305" name="Picture"/>
            <a:graphic>
              <a:graphicData uri="http://schemas.openxmlformats.org/drawingml/2006/picture">
                <pic:pic>
                  <pic:nvPicPr>
                    <pic:cNvPr descr="assets/sar-pol-examples/pol-decomposition.jpeg" id="306" name="Picture"/>
                    <pic:cNvPicPr>
                      <a:picLocks noChangeArrowheads="1" noChangeAspect="1"/>
                    </pic:cNvPicPr>
                  </pic:nvPicPr>
                  <pic:blipFill>
                    <a:blip r:embed="rId304"/>
                    <a:stretch>
                      <a:fillRect/>
                    </a:stretch>
                  </pic:blipFill>
                  <pic:spPr bwMode="auto">
                    <a:xfrm>
                      <a:off x="0" y="0"/>
                      <a:ext cx="5724525" cy="5629275"/>
                    </a:xfrm>
                    <a:prstGeom prst="rect">
                      <a:avLst/>
                    </a:prstGeom>
                    <a:noFill/>
                    <a:ln w="9525">
                      <a:noFill/>
                      <a:headEnd/>
                      <a:tailEnd/>
                    </a:ln>
                  </pic:spPr>
                </pic:pic>
              </a:graphicData>
            </a:graphic>
          </wp:inline>
        </w:drawing>
      </w:r>
    </w:p>
    <w:p>
      <w:pPr>
        <w:pStyle w:val="ImageCaption"/>
      </w:pPr>
      <w:r>
        <w:t xml:space="preserve">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w:t>
      </w:r>
    </w:p>
    <w:bookmarkEnd w:id="307"/>
    <w:p>
      <w:pPr>
        <w:pStyle w:val="Textkrper"/>
      </w:pPr>
      <w:r>
        <w:t xml:space="preserve">Figure </w:t>
      </w:r>
      <w:hyperlink w:anchor="fig:sar-pol-examples-fig2">
        <w:r>
          <w:rPr>
            <w:rStyle w:val="Hyperlink"/>
          </w:rPr>
          <w:t xml:space="preserve">2</w:t>
        </w:r>
      </w:hyperlink>
      <w:r>
        <w:t xml:space="preserve"> </w:t>
      </w:r>
      <w:r>
        <w:t xml:space="preserve">is a PRD compact polarimetric m-chi decomposition</w:t>
      </w:r>
      <w:r>
        <w:t xml:space="preserve"> </w:t>
      </w:r>
      <w:r>
        <w:t xml:space="preserve">(</w:t>
      </w:r>
      <w:hyperlink w:anchor="ref-raney2012">
        <w:r>
          <w:rPr>
            <w:rStyle w:val="Hyperlink"/>
          </w:rPr>
          <w:t xml:space="preserve">Raney et al. 2012</w:t>
        </w:r>
      </w:hyperlink>
      <w:r>
        <w:t xml:space="preserve">)</w:t>
      </w:r>
      <w:r>
        <w:t xml:space="preserve"> </w:t>
      </w:r>
      <w:r>
        <w:t xml:space="preserve">simulated from two Canadian prairies Radarsat-2 fully polarimetric scenes acquired in May and June 2012. In May, before the growing season Figure </w:t>
      </w:r>
      <w:hyperlink w:anchor="fig:sar-pol-examples-fig2">
        <w:r>
          <w:rPr>
            <w:rStyle w:val="Hyperlink"/>
          </w:rPr>
          <w:t xml:space="preserve">2</w:t>
        </w:r>
      </w:hyperlink>
      <w:r>
        <w:t xml:space="preserve">a, m-chi shows mainly surface scattering from bare soil (blue channel) and vegetation interaction from forested areas (green channel), while in June Figure </w:t>
      </w:r>
      <w:hyperlink w:anchor="fig:sar-pol-examples-fig2">
        <w:r>
          <w:rPr>
            <w:rStyle w:val="Hyperlink"/>
          </w:rPr>
          <w:t xml:space="preserve">2</w:t>
        </w:r>
      </w:hyperlink>
      <w:r>
        <w:t xml:space="preserve">b growth of vegetation modifies the radar signal with interacting media function of the vegetation density and geometry which increase the amount of even bounce (red channel) and random scattering.</w:t>
      </w:r>
    </w:p>
    <w:bookmarkStart w:id="311" w:name="fig:sar-pol-examples-fig2"/>
    <w:p>
      <w:pPr>
        <w:pStyle w:val="CaptionedFigure"/>
      </w:pPr>
      <w:r>
        <w:drawing>
          <wp:inline>
            <wp:extent cx="5727700" cy="2887518"/>
            <wp:effectExtent b="0" l="0" r="0" t="0"/>
            <wp:docPr descr="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 title="" id="309" name="Picture"/>
            <a:graphic>
              <a:graphicData uri="http://schemas.openxmlformats.org/drawingml/2006/picture">
                <pic:pic>
                  <pic:nvPicPr>
                    <pic:cNvPr descr="assets/sar-pol-examples/m-chi-decomposition.jpeg" id="310" name="Picture"/>
                    <pic:cNvPicPr>
                      <a:picLocks noChangeArrowheads="1" noChangeAspect="1"/>
                    </pic:cNvPicPr>
                  </pic:nvPicPr>
                  <pic:blipFill>
                    <a:blip r:embed="rId308"/>
                    <a:stretch>
                      <a:fillRect/>
                    </a:stretch>
                  </pic:blipFill>
                  <pic:spPr bwMode="auto">
                    <a:xfrm>
                      <a:off x="0" y="0"/>
                      <a:ext cx="5727700" cy="2887518"/>
                    </a:xfrm>
                    <a:prstGeom prst="rect">
                      <a:avLst/>
                    </a:prstGeom>
                    <a:noFill/>
                    <a:ln w="9525">
                      <a:noFill/>
                      <a:headEnd/>
                      <a:tailEnd/>
                    </a:ln>
                  </pic:spPr>
                </pic:pic>
              </a:graphicData>
            </a:graphic>
          </wp:inline>
        </w:drawing>
      </w:r>
    </w:p>
    <w:p>
      <w:pPr>
        <w:pStyle w:val="ImageCaption"/>
      </w:pPr>
      <w:r>
        <w:t xml:space="preserve">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w:t>
      </w:r>
    </w:p>
    <w:bookmarkEnd w:id="311"/>
    <w:bookmarkEnd w:id="312"/>
    <w:bookmarkEnd w:id="313"/>
    <w:bookmarkEnd w:id="31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1"/>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1"/>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1"/>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 w:numId="11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4">
    <w:abstractNumId w:val="991"/>
  </w:num>
  <w:num w:numId="11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08" Target="media/rId308.jpg" /><Relationship Type="http://schemas.openxmlformats.org/officeDocument/2006/relationships/image" Id="rId304" Target="media/rId304.jpg" /><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74" Target="https://doi.org/10.1029/2011JE003986" TargetMode="External" /><Relationship Type="http://schemas.openxmlformats.org/officeDocument/2006/relationships/hyperlink" Id="rId267" Target="https://doi.org/10.1080/2150704X.2012.687470" TargetMode="External" /><Relationship Type="http://schemas.openxmlformats.org/officeDocument/2006/relationships/hyperlink" Id="rId261" Target="https://doi.org/10.1109/36.485127" TargetMode="External" /><Relationship Type="http://schemas.openxmlformats.org/officeDocument/2006/relationships/hyperlink" Id="rId259" Target="https://doi.org/10.1109/36.499784" TargetMode="External" /><Relationship Type="http://schemas.openxmlformats.org/officeDocument/2006/relationships/hyperlink" Id="rId265" Target="https://doi.org/10.1109/36.673687" TargetMode="External" /><Relationship Type="http://schemas.openxmlformats.org/officeDocument/2006/relationships/hyperlink" Id="rId284" Target="https://doi.org/10.1109/LGRS.2017.2753580" TargetMode="External" /><Relationship Type="http://schemas.openxmlformats.org/officeDocument/2006/relationships/hyperlink" Id="rId272" Target="https://doi.org/10.1109/TGRS.2008.2002881" TargetMode="External" /><Relationship Type="http://schemas.openxmlformats.org/officeDocument/2006/relationships/hyperlink" Id="rId286" Target="https://doi.org/10.1109/TGRS.2010.2051333" TargetMode="External" /><Relationship Type="http://schemas.openxmlformats.org/officeDocument/2006/relationships/hyperlink" Id="rId282" Target="https://doi.org/10.1109/TGRS.2010.2099124" TargetMode="External" /><Relationship Type="http://schemas.openxmlformats.org/officeDocument/2006/relationships/hyperlink" Id="rId278" Target="https://doi.org/10.1109/TGRS.2011.2120616" TargetMode="External" /><Relationship Type="http://schemas.openxmlformats.org/officeDocument/2006/relationships/hyperlink" Id="rId280" Target="https://doi.org/10.1109/TGRS.2012.2233206" TargetMode="External" /><Relationship Type="http://schemas.openxmlformats.org/officeDocument/2006/relationships/hyperlink" Id="rId276" Target="https://doi.org/10.1109/TGRS.2022.3147472" TargetMode="External" /><Relationship Type="http://schemas.openxmlformats.org/officeDocument/2006/relationships/hyperlink" Id="rId263"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74" Target="https://doi.org/10.1029/2011JE003986" TargetMode="External" /><Relationship Type="http://schemas.openxmlformats.org/officeDocument/2006/relationships/hyperlink" Id="rId267" Target="https://doi.org/10.1080/2150704X.2012.687470" TargetMode="External" /><Relationship Type="http://schemas.openxmlformats.org/officeDocument/2006/relationships/hyperlink" Id="rId261" Target="https://doi.org/10.1109/36.485127" TargetMode="External" /><Relationship Type="http://schemas.openxmlformats.org/officeDocument/2006/relationships/hyperlink" Id="rId259" Target="https://doi.org/10.1109/36.499784" TargetMode="External" /><Relationship Type="http://schemas.openxmlformats.org/officeDocument/2006/relationships/hyperlink" Id="rId265" Target="https://doi.org/10.1109/36.673687" TargetMode="External" /><Relationship Type="http://schemas.openxmlformats.org/officeDocument/2006/relationships/hyperlink" Id="rId284" Target="https://doi.org/10.1109/LGRS.2017.2753580" TargetMode="External" /><Relationship Type="http://schemas.openxmlformats.org/officeDocument/2006/relationships/hyperlink" Id="rId272" Target="https://doi.org/10.1109/TGRS.2008.2002881" TargetMode="External" /><Relationship Type="http://schemas.openxmlformats.org/officeDocument/2006/relationships/hyperlink" Id="rId286" Target="https://doi.org/10.1109/TGRS.2010.2051333" TargetMode="External" /><Relationship Type="http://schemas.openxmlformats.org/officeDocument/2006/relationships/hyperlink" Id="rId282" Target="https://doi.org/10.1109/TGRS.2010.2099124" TargetMode="External" /><Relationship Type="http://schemas.openxmlformats.org/officeDocument/2006/relationships/hyperlink" Id="rId278" Target="https://doi.org/10.1109/TGRS.2011.2120616" TargetMode="External" /><Relationship Type="http://schemas.openxmlformats.org/officeDocument/2006/relationships/hyperlink" Id="rId280" Target="https://doi.org/10.1109/TGRS.2012.2233206" TargetMode="External" /><Relationship Type="http://schemas.openxmlformats.org/officeDocument/2006/relationships/hyperlink" Id="rId276" Target="https://doi.org/10.1109/TGRS.2022.3147472" TargetMode="External" /><Relationship Type="http://schemas.openxmlformats.org/officeDocument/2006/relationships/hyperlink" Id="rId263"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Polarimetric Radar - Version 3.6.0-draft</dc:title>
  <dc:creator/>
  <dc:language>en</dc:language>
  <cp:keywords/>
  <dcterms:created xsi:type="dcterms:W3CDTF">2026-07-29T17:31:29Z</dcterms:created>
  <dcterms:modified xsi:type="dcterms:W3CDTF">2026-07-29T17:31:29Z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/home/runner/work/ceos-ard/ceos-ard/build/POL.bib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