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media/rId2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drawing>
          <wp:inline>
            <wp:extent cx="5727700" cy="1381957"/>
            <wp:effectExtent b="0" l="0" r="0" t="0"/>
            <wp:docPr descr="" title="" id="24" name="Picture"/>
            <a:graphic>
              <a:graphicData uri="http://schemas.openxmlformats.org/drawingml/2006/picture">
                <pic:pic>
                  <pic:nvPicPr>
                    <pic:cNvPr descr="assets/CEOS_logo_colour_black_text_right.png" id="25" name="Picture"/>
                    <pic:cNvPicPr>
                      <a:picLocks noChangeArrowheads="1" noChangeAspect="1"/>
                    </pic:cNvPicPr>
                  </pic:nvPicPr>
                  <pic:blipFill>
                    <a:blip r:embed="rId23"/>
                    <a:stretch>
                      <a:fillRect/>
                    </a:stretch>
                  </pic:blipFill>
                  <pic:spPr bwMode="auto">
                    <a:xfrm>
                      <a:off x="0" y="0"/>
                      <a:ext cx="5727700" cy="1381957"/>
                    </a:xfrm>
                    <a:prstGeom prst="rect">
                      <a:avLst/>
                    </a:prstGeom>
                    <a:noFill/>
                    <a:ln w="9525">
                      <a:noFill/>
                      <a:headEnd/>
                      <a:tailEnd/>
                    </a:ln>
                  </pic:spPr>
                </pic:pic>
              </a:graphicData>
            </a:graphic>
          </wp:inline>
        </w:drawing>
      </w:r>
    </w:p>
    <w:bookmarkStart w:id="305" w:name="Xf322761420ba12cd249c8be342647b2908c150a"/>
    <w:p>
      <w:pPr>
        <w:pStyle w:val="berschrift1"/>
      </w:pPr>
      <w:r>
        <w:t xml:space="preserve">CEOS-ARD - Synthetic Aperture Radar - Normalised Radar Backscatter</w:t>
      </w:r>
    </w:p>
    <w:p>
      <w:pPr>
        <w:pStyle w:val="FirstParagraph"/>
      </w:pPr>
      <w:r>
        <w:t xml:space="preserve"> </w:t>
      </w:r>
    </w:p>
    <w:bookmarkStart w:id="27" w:name="draft-version"/>
    <w:p>
      <w:pPr>
        <w:pStyle w:val="berschrift2"/>
      </w:pPr>
      <w:r>
        <w:t xml:space="preserve">Draft Version</w:t>
      </w:r>
    </w:p>
    <w:p>
      <w:pPr>
        <w:pStyle w:val="FirstParagraph"/>
      </w:pPr>
      <w:r>
        <w:t xml:space="preserve">This is a draft version.</w:t>
      </w:r>
      <w:r>
        <w:t xml:space="preserve"> </w:t>
      </w:r>
      <w:r>
        <w:t xml:space="preserve">Please visit the</w:t>
      </w:r>
      <w:r>
        <w:t xml:space="preserve"> </w:t>
      </w:r>
      <w:hyperlink r:id="rId26">
        <w:r>
          <w:rPr>
            <w:rStyle w:val="Hyperlink"/>
          </w:rPr>
          <w:t xml:space="preserve">CEOS-ARD website</w:t>
        </w:r>
      </w:hyperlink>
      <w:r>
        <w:t xml:space="preserve"> </w:t>
      </w:r>
      <w:r>
        <w:t xml:space="preserve">for the latest endorsed version of this document.</w:t>
      </w:r>
    </w:p>
    <w:bookmarkEnd w:id="27"/>
    <w:bookmarkStart w:id="29" w:name="document-status"/>
    <w:p>
      <w:pPr>
        <w:pStyle w:val="berschrift2"/>
      </w:pPr>
      <w:r>
        <w:t xml:space="preserve">Document Status</w:t>
      </w:r>
    </w:p>
    <w:p>
      <w:pPr>
        <w:pStyle w:val="FirstParagraph"/>
      </w:pPr>
      <w:r>
        <w:t xml:space="preserve">Product Family Specification, Synthetic Aperture Radar, Normalised Radar Backscatter</w:t>
      </w:r>
    </w:p>
    <w:p>
      <w:pPr>
        <w:pStyle w:val="Textkrper"/>
      </w:pPr>
      <w:r>
        <w:t xml:space="preserve">Proposed revisions may be provided to:</w:t>
      </w:r>
      <w:r>
        <w:t xml:space="preserve"> </w:t>
      </w:r>
      <w:hyperlink r:id="rId28">
        <w:r>
          <w:rPr>
            <w:rStyle w:val="Hyperlink"/>
          </w:rPr>
          <w:t xml:space="preserve">ard-contact@lists.ceos.org</w:t>
        </w:r>
      </w:hyperlink>
    </w:p>
    <w:bookmarkEnd w:id="29"/>
    <w:bookmarkStart w:id="31" w:name="document-history"/>
    <w:p>
      <w:pPr>
        <w:pStyle w:val="berschrift2"/>
      </w:pPr>
      <w:r>
        <w:t xml:space="preserve">Document History</w:t>
      </w:r>
    </w:p>
    <w:bookmarkStart w:id="30" w:name="patch"/>
    <w:p>
      <w:pPr>
        <w:pStyle w:val="berschrift3"/>
      </w:pPr>
      <w:r>
        <w:t xml:space="preserve">2026-03-26 (PATCH)</w:t>
      </w:r>
    </w:p>
    <w:p>
      <w:pPr>
        <w:pStyle w:val="Compact"/>
        <w:numPr>
          <w:ilvl w:val="0"/>
          <w:numId w:val="1001"/>
        </w:numPr>
      </w:pPr>
      <w:r>
        <w:t xml:space="preserve">The Combined SAR PFS has been split into separate PFS per product type</w:t>
      </w:r>
    </w:p>
    <w:p>
      <w:pPr>
        <w:pStyle w:val="Compact"/>
        <w:numPr>
          <w:ilvl w:val="0"/>
          <w:numId w:val="1001"/>
        </w:numPr>
      </w:pPr>
      <w:r>
        <w:t xml:space="preserve">Restructured the document; various minor editorial changes; removed empty, irrelevant, or unused parts - many of the changes resulted from the split</w:t>
      </w:r>
    </w:p>
    <w:p>
      <w:pPr>
        <w:pStyle w:val="Compact"/>
        <w:numPr>
          <w:ilvl w:val="0"/>
          <w:numId w:val="1001"/>
        </w:numPr>
      </w:pPr>
      <w:r>
        <w:t xml:space="preserve">Document history has been reset. Check the previous versions for details</w:t>
      </w:r>
    </w:p>
    <w:p>
      <w:pPr>
        <w:pStyle w:val="Compact"/>
        <w:numPr>
          <w:ilvl w:val="0"/>
          <w:numId w:val="1001"/>
        </w:numPr>
      </w:pPr>
      <w:r>
        <w:t xml:space="preserve">Numerical identifiers were rotated and are deprecated; new textual identifiers have been added</w:t>
      </w:r>
    </w:p>
    <w:p>
      <w:pPr>
        <w:pStyle w:val="Compact"/>
        <w:numPr>
          <w:ilvl w:val="0"/>
          <w:numId w:val="1001"/>
        </w:numPr>
      </w:pPr>
      <w:r>
        <w:t xml:space="preserve">The requirement</w:t>
      </w:r>
      <w:r>
        <w:t xml:space="preserve"> </w:t>
      </w:r>
      <w:r>
        <w:t xml:space="preserve">“Cloud optimized file formats are recommended.”</w:t>
      </w:r>
      <w:r>
        <w:t xml:space="preserve"> </w:t>
      </w:r>
      <w:r>
        <w:t xml:space="preserve">has been moved from the category description to a separate requirement.</w:t>
      </w:r>
    </w:p>
    <w:p>
      <w:pPr>
        <w:pStyle w:val="Compact"/>
        <w:numPr>
          <w:ilvl w:val="0"/>
          <w:numId w:val="1001"/>
        </w:numPr>
      </w:pPr>
      <w:r>
        <w:t xml:space="preserve">Requirement</w:t>
      </w:r>
      <w:r>
        <w:t xml:space="preserve"> </w:t>
      </w:r>
      <w:r>
        <w:t xml:space="preserve">“Document identifier”</w:t>
      </w:r>
      <w:r>
        <w:t xml:space="preserve">: Removed the trailing “for Synthetic Aperture Radar”.</w:t>
      </w:r>
    </w:p>
    <w:p>
      <w:pPr>
        <w:pStyle w:val="Compact"/>
        <w:numPr>
          <w:ilvl w:val="0"/>
          <w:numId w:val="1001"/>
        </w:numPr>
      </w:pPr>
      <w:r>
        <w:t xml:space="preserve">The subcategories for Source and Product metadata have been flattened into top-level categories</w:t>
      </w:r>
    </w:p>
    <w:p>
      <w:pPr>
        <w:pStyle w:val="Compact"/>
        <w:numPr>
          <w:ilvl w:val="0"/>
          <w:numId w:val="1001"/>
        </w:numPr>
      </w:pPr>
      <w:r>
        <w:t xml:space="preserve">Requirement</w:t>
      </w:r>
      <w:r>
        <w:t xml:space="preserve"> </w:t>
      </w:r>
      <w:r>
        <w:t xml:space="preserve">“CEOS-ARD Product Data Attributes”</w:t>
      </w:r>
      <w:r>
        <w:t xml:space="preserve"> </w:t>
      </w:r>
      <w:r>
        <w:t xml:space="preserve">renamed to “Product Metadata”; Requirement</w:t>
      </w:r>
      <w:r>
        <w:t xml:space="preserve"> </w:t>
      </w:r>
      <w:r>
        <w:t xml:space="preserve">“Source Data Attributes”</w:t>
      </w:r>
      <w:r>
        <w:t xml:space="preserve"> </w:t>
      </w:r>
      <w:r>
        <w:t xml:space="preserve">renamed to “Source Metadata”. Adapted descriptions accordingly.</w:t>
      </w:r>
    </w:p>
    <w:p>
      <w:pPr>
        <w:pStyle w:val="Compact"/>
        <w:numPr>
          <w:ilvl w:val="0"/>
          <w:numId w:val="1001"/>
        </w:numPr>
      </w:pPr>
      <w:r>
        <w:t xml:space="preserve">Requirement</w:t>
      </w:r>
      <w:r>
        <w:t xml:space="preserve"> </w:t>
      </w:r>
      <w:r>
        <w:t xml:space="preserve">“Source Data Attributes”</w:t>
      </w:r>
      <w:r>
        <w:t xml:space="preserve">: Moved the information about sequential acquisition identifiers to a new threshold requirement “Acquisition ID”. Adapted category description accordingly.</w:t>
      </w:r>
    </w:p>
    <w:p>
      <w:pPr>
        <w:pStyle w:val="Compact"/>
        <w:numPr>
          <w:ilvl w:val="0"/>
          <w:numId w:val="1001"/>
        </w:numPr>
      </w:pPr>
      <w:r>
        <w:t xml:space="preserve">Annex has been reformatted and updated as required by the split</w:t>
      </w:r>
    </w:p>
    <w:p>
      <w:pPr>
        <w:pStyle w:val="FirstParagraph"/>
      </w:pPr>
      <w:r>
        <w:rPr>
          <w:b/>
          <w:bCs/>
        </w:rPr>
        <w:t xml:space="preserve">Justification:</w:t>
      </w:r>
      <w:r>
        <w:t xml:space="preserve"> </w:t>
      </w:r>
      <w:r>
        <w:t xml:space="preserve">Migration to building blocks.</w:t>
      </w:r>
    </w:p>
    <w:p>
      <w:pPr>
        <w:pStyle w:val="Textkrper"/>
      </w:pPr>
      <w:r>
        <w:rPr>
          <w:b/>
          <w:bCs/>
        </w:rPr>
        <w:t xml:space="preserve">Editor:</w:t>
      </w:r>
      <w:r>
        <w:t xml:space="preserve"> </w:t>
      </w:r>
      <w:r>
        <w:t xml:space="preserve">Matthias Mohr</w:t>
      </w:r>
    </w:p>
    <w:bookmarkEnd w:id="30"/>
    <w:bookmarkEnd w:id="31"/>
    <w:bookmarkStart w:id="32" w:name="contributing-authors"/>
    <w:p>
      <w:pPr>
        <w:pStyle w:val="berschrift2"/>
      </w:pPr>
      <w:r>
        <w:t xml:space="preserve">Contributing Authors</w:t>
      </w:r>
    </w:p>
    <w:p>
      <w:pPr>
        <w:pStyle w:val="Compact"/>
        <w:numPr>
          <w:ilvl w:val="0"/>
          <w:numId w:val="1002"/>
        </w:numPr>
      </w:pPr>
      <w:r>
        <w:t xml:space="preserve">François Charbonneau, Natural Resources Canada, Canada</w:t>
      </w:r>
    </w:p>
    <w:p>
      <w:pPr>
        <w:pStyle w:val="Compact"/>
        <w:numPr>
          <w:ilvl w:val="0"/>
          <w:numId w:val="1002"/>
        </w:numPr>
      </w:pPr>
      <w:r>
        <w:t xml:space="preserve">Ake Rosenqvist, soloEO / Japan Aerospace Exploration Agency, Japan</w:t>
      </w:r>
    </w:p>
    <w:p>
      <w:pPr>
        <w:pStyle w:val="Compact"/>
        <w:numPr>
          <w:ilvl w:val="0"/>
          <w:numId w:val="1002"/>
        </w:numPr>
      </w:pPr>
      <w:r>
        <w:t xml:space="preserve">John Truckenbrodt, German Aerospace Centre (DLR), Germany</w:t>
      </w:r>
    </w:p>
    <w:p>
      <w:pPr>
        <w:pStyle w:val="Compact"/>
        <w:numPr>
          <w:ilvl w:val="0"/>
          <w:numId w:val="1002"/>
        </w:numPr>
      </w:pPr>
      <w:r>
        <w:t xml:space="preserve">Clément Albinet, European Space Agency (ESA), Italy</w:t>
      </w:r>
    </w:p>
    <w:p>
      <w:pPr>
        <w:pStyle w:val="Compact"/>
        <w:numPr>
          <w:ilvl w:val="0"/>
          <w:numId w:val="1002"/>
        </w:numPr>
      </w:pPr>
      <w:r>
        <w:t xml:space="preserve">David Small, University of Zurich, Switzerland</w:t>
      </w:r>
    </w:p>
    <w:p>
      <w:pPr>
        <w:pStyle w:val="Compact"/>
        <w:numPr>
          <w:ilvl w:val="0"/>
          <w:numId w:val="1002"/>
        </w:numPr>
      </w:pPr>
      <w:r>
        <w:t xml:space="preserve">Bruce Chapman, Jet Propulsion Laboratory, USA</w:t>
      </w:r>
    </w:p>
    <w:p>
      <w:pPr>
        <w:pStyle w:val="Compact"/>
        <w:numPr>
          <w:ilvl w:val="0"/>
          <w:numId w:val="1002"/>
        </w:numPr>
      </w:pPr>
      <w:r>
        <w:t xml:space="preserve">Howard Zebker, Stanford University, USA</w:t>
      </w:r>
    </w:p>
    <w:p>
      <w:pPr>
        <w:pStyle w:val="Compact"/>
        <w:numPr>
          <w:ilvl w:val="0"/>
          <w:numId w:val="1002"/>
        </w:numPr>
      </w:pPr>
      <w:r>
        <w:t xml:space="preserve">Zheng-Shu Zhou, CSIRO, Australia</w:t>
      </w:r>
    </w:p>
    <w:p>
      <w:pPr>
        <w:pStyle w:val="Compact"/>
        <w:numPr>
          <w:ilvl w:val="0"/>
          <w:numId w:val="1002"/>
        </w:numPr>
      </w:pPr>
      <w:r>
        <w:t xml:space="preserve">David Bekaert, Jet Propulsion Laboratory, USA</w:t>
      </w:r>
    </w:p>
    <w:p>
      <w:pPr>
        <w:pStyle w:val="Compact"/>
        <w:numPr>
          <w:ilvl w:val="0"/>
          <w:numId w:val="1002"/>
        </w:numPr>
      </w:pPr>
      <w:r>
        <w:t xml:space="preserve">Virginia Brancato, Jet Propulsion Laboratory, USA</w:t>
      </w:r>
    </w:p>
    <w:p>
      <w:pPr>
        <w:pStyle w:val="Compact"/>
        <w:numPr>
          <w:ilvl w:val="0"/>
          <w:numId w:val="1002"/>
        </w:numPr>
      </w:pPr>
      <w:r>
        <w:t xml:space="preserve">Danilo Dadamia, CONAE, Argentina</w:t>
      </w:r>
    </w:p>
    <w:p>
      <w:pPr>
        <w:pStyle w:val="Compact"/>
        <w:numPr>
          <w:ilvl w:val="0"/>
          <w:numId w:val="1002"/>
        </w:numPr>
      </w:pPr>
      <w:r>
        <w:t xml:space="preserve">Benjamin Deschamps, Environment and Climate Change, Canada</w:t>
      </w:r>
    </w:p>
    <w:p>
      <w:pPr>
        <w:pStyle w:val="Compact"/>
        <w:numPr>
          <w:ilvl w:val="0"/>
          <w:numId w:val="1002"/>
        </w:numPr>
      </w:pPr>
      <w:r>
        <w:t xml:space="preserve">Matt Garthwaite, CSIRO, Australia</w:t>
      </w:r>
    </w:p>
    <w:p>
      <w:pPr>
        <w:pStyle w:val="Compact"/>
        <w:numPr>
          <w:ilvl w:val="0"/>
          <w:numId w:val="1002"/>
        </w:numPr>
      </w:pPr>
      <w:r>
        <w:t xml:space="preserve">Guillaume Hajduch, Collecte Localisation Satellites, France</w:t>
      </w:r>
    </w:p>
    <w:p>
      <w:pPr>
        <w:pStyle w:val="Compact"/>
        <w:numPr>
          <w:ilvl w:val="0"/>
          <w:numId w:val="1002"/>
        </w:numPr>
      </w:pPr>
      <w:r>
        <w:t xml:space="preserve">P.V. Jayasri, ISRO, India</w:t>
      </w:r>
    </w:p>
    <w:p>
      <w:pPr>
        <w:pStyle w:val="Compact"/>
        <w:numPr>
          <w:ilvl w:val="0"/>
          <w:numId w:val="1002"/>
        </w:numPr>
      </w:pPr>
      <w:r>
        <w:t xml:space="preserve">Josef Kellndorfer, Earth Big Data, USA</w:t>
      </w:r>
    </w:p>
    <w:p>
      <w:pPr>
        <w:pStyle w:val="Compact"/>
        <w:numPr>
          <w:ilvl w:val="0"/>
          <w:numId w:val="1002"/>
        </w:numPr>
      </w:pPr>
      <w:r>
        <w:t xml:space="preserve">Marco Lavalle, Jet Propulsion Laboratory, USA</w:t>
      </w:r>
    </w:p>
    <w:p>
      <w:pPr>
        <w:pStyle w:val="Compact"/>
        <w:numPr>
          <w:ilvl w:val="0"/>
          <w:numId w:val="1002"/>
        </w:numPr>
      </w:pPr>
      <w:r>
        <w:t xml:space="preserve">Thomas Logan, Alaska Satellite Facility, USA</w:t>
      </w:r>
    </w:p>
    <w:p>
      <w:pPr>
        <w:pStyle w:val="Compact"/>
        <w:numPr>
          <w:ilvl w:val="0"/>
          <w:numId w:val="1002"/>
        </w:numPr>
      </w:pPr>
      <w:r>
        <w:t xml:space="preserve">Franz Meyer, Alaska Satellite Facility, USA</w:t>
      </w:r>
    </w:p>
    <w:p>
      <w:pPr>
        <w:pStyle w:val="Compact"/>
        <w:numPr>
          <w:ilvl w:val="0"/>
          <w:numId w:val="1002"/>
        </w:numPr>
      </w:pPr>
      <w:r>
        <w:t xml:space="preserve">Nuno Miranda, European Space Agency (ESA), Italy</w:t>
      </w:r>
    </w:p>
    <w:p>
      <w:pPr>
        <w:pStyle w:val="Compact"/>
        <w:numPr>
          <w:ilvl w:val="0"/>
          <w:numId w:val="1002"/>
        </w:numPr>
      </w:pPr>
      <w:r>
        <w:t xml:space="preserve">Muriel Pinheiro, European Space Agency (ESA), Italy</w:t>
      </w:r>
    </w:p>
    <w:p>
      <w:pPr>
        <w:pStyle w:val="Compact"/>
        <w:numPr>
          <w:ilvl w:val="0"/>
          <w:numId w:val="1002"/>
        </w:numPr>
      </w:pPr>
      <w:r>
        <w:t xml:space="preserve">Marko Repse, Sinergise, Slovenia</w:t>
      </w:r>
    </w:p>
    <w:p>
      <w:pPr>
        <w:pStyle w:val="Compact"/>
        <w:numPr>
          <w:ilvl w:val="0"/>
          <w:numId w:val="1002"/>
        </w:numPr>
      </w:pPr>
      <w:r>
        <w:t xml:space="preserve">HariPriya Sakethapuram, ISRO, India</w:t>
      </w:r>
    </w:p>
    <w:p>
      <w:pPr>
        <w:pStyle w:val="Compact"/>
        <w:numPr>
          <w:ilvl w:val="0"/>
          <w:numId w:val="1002"/>
        </w:numPr>
      </w:pPr>
      <w:r>
        <w:t xml:space="preserve">Gustavo H. X. Shiroma, Jet Propulsion Laboratory, USA</w:t>
      </w:r>
    </w:p>
    <w:p>
      <w:pPr>
        <w:pStyle w:val="Compact"/>
        <w:numPr>
          <w:ilvl w:val="0"/>
          <w:numId w:val="1002"/>
        </w:numPr>
      </w:pPr>
      <w:r>
        <w:t xml:space="preserve">Andreia Siqueira, Geoscience Australia, Australia</w:t>
      </w:r>
    </w:p>
    <w:p>
      <w:pPr>
        <w:pStyle w:val="Compact"/>
        <w:numPr>
          <w:ilvl w:val="0"/>
          <w:numId w:val="1002"/>
        </w:numPr>
      </w:pPr>
      <w:r>
        <w:t xml:space="preserve">Scott Staniewicz, Jet Propulsion Laboratory, USA</w:t>
      </w:r>
    </w:p>
    <w:p>
      <w:pPr>
        <w:pStyle w:val="Compact"/>
        <w:numPr>
          <w:ilvl w:val="0"/>
          <w:numId w:val="1002"/>
        </w:numPr>
      </w:pPr>
      <w:r>
        <w:t xml:space="preserve">Takeo Tadono, Japan Aerospace Exploration Agency, Japan</w:t>
      </w:r>
    </w:p>
    <w:p>
      <w:pPr>
        <w:pStyle w:val="Compact"/>
        <w:numPr>
          <w:ilvl w:val="0"/>
          <w:numId w:val="1002"/>
        </w:numPr>
      </w:pPr>
      <w:r>
        <w:t xml:space="preserve">Medhavy Thankappan, Geoscience Australia, Australia</w:t>
      </w:r>
    </w:p>
    <w:p>
      <w:pPr>
        <w:pStyle w:val="Compact"/>
        <w:numPr>
          <w:ilvl w:val="0"/>
          <w:numId w:val="1002"/>
        </w:numPr>
      </w:pPr>
      <w:r>
        <w:t xml:space="preserve">Antonio Valentino, Starion for European Space Agency (ESA), Italy</w:t>
      </w:r>
    </w:p>
    <w:p>
      <w:pPr>
        <w:pStyle w:val="Compact"/>
        <w:numPr>
          <w:ilvl w:val="0"/>
          <w:numId w:val="1002"/>
        </w:numPr>
      </w:pPr>
      <w:r>
        <w:t xml:space="preserve">Anna Wendleder, German Aerospace Centre (DLR), Germany</w:t>
      </w:r>
    </w:p>
    <w:p>
      <w:pPr>
        <w:pStyle w:val="Compact"/>
        <w:numPr>
          <w:ilvl w:val="0"/>
          <w:numId w:val="1002"/>
        </w:numPr>
      </w:pPr>
      <w:r>
        <w:t xml:space="preserve">Fang Yuan, Digital Earth Africa, Australia</w:t>
      </w:r>
    </w:p>
    <w:p>
      <w:pPr>
        <w:pStyle w:val="Compact"/>
        <w:numPr>
          <w:ilvl w:val="0"/>
          <w:numId w:val="1002"/>
        </w:numPr>
      </w:pPr>
      <w:r>
        <w:t xml:space="preserve">Francesco De Zan, Delta-Phi Remote Sensing GmbH, Germany</w:t>
      </w:r>
    </w:p>
    <w:p>
      <w:r>
        <w:br w:type="page"/>
      </w:r>
    </w:p>
    <w:bookmarkEnd w:id="32"/>
    <w:bookmarkStart w:id="33" w:name="ceos-analysis-ready-data-definition"/>
    <w:p>
      <w:pPr>
        <w:pStyle w:val="berschrift2"/>
      </w:pPr>
      <w:r>
        <w:t xml:space="preserve">CEOS Analysis Ready Data Definition</w:t>
      </w:r>
    </w:p>
    <w:p>
      <w:pPr>
        <w:pStyle w:val="Blocktext"/>
      </w:pPr>
      <w:r>
        <w:t xml:space="preserve">CEOS Analysis Ready Data (CEOS-ARD) are satellite data that have been processed to a minimum set of requirements and organized into a form that allows immediate analysis with a minimum of additional user effort and interoperability both through time and with other datasets.</w:t>
      </w:r>
    </w:p>
    <w:bookmarkEnd w:id="33"/>
    <w:bookmarkStart w:id="34" w:name="description"/>
    <w:p>
      <w:pPr>
        <w:pStyle w:val="berschrift2"/>
      </w:pPr>
      <w:r>
        <w:t xml:space="preserve">Description</w:t>
      </w:r>
    </w:p>
    <w:p>
      <w:pPr>
        <w:pStyle w:val="FirstParagraph"/>
      </w:pPr>
      <w:r>
        <w:rPr>
          <w:b/>
          <w:bCs/>
        </w:rPr>
        <w:t xml:space="preserve">Product Family Specification:</w:t>
      </w:r>
      <w:r>
        <w:t xml:space="preserve"> </w:t>
      </w:r>
      <w:r>
        <w:t xml:space="preserve">Synthetic Aperture Radar, Normalised Radar Backscatter (NRB)</w:t>
      </w:r>
    </w:p>
    <w:p>
      <w:pPr>
        <w:pStyle w:val="Textkrper"/>
      </w:pPr>
      <w:r>
        <w:rPr>
          <w:b/>
          <w:bCs/>
        </w:rPr>
        <w:t xml:space="preserve">Version:</w:t>
      </w:r>
      <w:r>
        <w:t xml:space="preserve"> </w:t>
      </w:r>
      <w:r>
        <w:t xml:space="preserve">1.1.0-draft</w:t>
      </w:r>
    </w:p>
    <w:p>
      <w:pPr>
        <w:pStyle w:val="Textkrper"/>
      </w:pPr>
      <w:r>
        <w:rPr>
          <w:b/>
          <w:bCs/>
        </w:rPr>
        <w:t xml:space="preserve">Applies to:</w:t>
      </w:r>
      <w:r>
        <w:t xml:space="preserve"> </w:t>
      </w:r>
      <w:r>
        <w:t xml:space="preserve">Data collected by Synthetic Aperture Radar sensors</w:t>
      </w:r>
    </w:p>
    <w:bookmarkEnd w:id="34"/>
    <w:bookmarkStart w:id="35" w:name="background"/>
    <w:p>
      <w:pPr>
        <w:pStyle w:val="berschrift2"/>
      </w:pPr>
      <w:r>
        <w:t xml:space="preserve">Background</w:t>
      </w:r>
    </w:p>
    <w:p>
      <w:pPr>
        <w:pStyle w:val="FirstParagraph"/>
      </w:pPr>
      <w:r>
        <w:t xml:space="preserve">This PFS is specifically aimed at users interested in exploring the potential of SAR but who may lack the expertise or facilities for SAR processing.</w:t>
      </w:r>
    </w:p>
    <w:p>
      <w:pPr>
        <w:pStyle w:val="Textkrper"/>
      </w:pPr>
      <w:r>
        <w:t xml:space="preserve">The CEOS-ARD Normalised Radar Backscatter (NRB) specification describes products that have been subject to Radiometric Terrain Correction (RTC) and are provided in the Gamma-Nought (</w:t>
      </w:r>
      <m:oMath>
        <m:sSubSup>
          <m:e>
            <m:r>
              <m:t>γ</m:t>
            </m:r>
          </m:e>
          <m:sub>
            <m:r>
              <m:t>T</m:t>
            </m:r>
          </m:sub>
          <m:sup>
            <m:r>
              <m:t>0</m:t>
            </m:r>
          </m:sup>
        </m:sSubSup>
      </m:oMath>
      <w:r>
        <w:t xml:space="preserve">) backscatter convention</w:t>
      </w:r>
      <w:r>
        <w:t xml:space="preserve"> </w:t>
      </w:r>
      <w:r>
        <w:t xml:space="preserve">(</w:t>
      </w:r>
      <w:hyperlink w:anchor="ref-small2011">
        <w:r>
          <w:rPr>
            <w:rStyle w:val="Hyperlink"/>
          </w:rPr>
          <w:t xml:space="preserve">Small 2011</w:t>
        </w:r>
      </w:hyperlink>
      <w:r>
        <w:t xml:space="preserve">)</w:t>
      </w:r>
      <w:r>
        <w:t xml:space="preserve">, which mitigates the variations from diverse observation geometries and is recommended for most land applications.</w:t>
      </w:r>
      <w:r>
        <w:t xml:space="preserve"> </w:t>
      </w:r>
      <w:r>
        <w:t xml:space="preserve">An additional metadata layer can be optionally provided for conversion of</w:t>
      </w:r>
      <w:r>
        <w:t xml:space="preserve"> </w:t>
      </w:r>
      <m:oMath>
        <m:sSubSup>
          <m:e>
            <m:r>
              <m:t>γ</m:t>
            </m:r>
          </m:e>
          <m:sub>
            <m:r>
              <m:t>T</m:t>
            </m:r>
          </m:sub>
          <m:sup>
            <m:r>
              <m:t>0</m:t>
            </m:r>
          </m:sup>
        </m:sSubSup>
      </m:oMath>
      <w:r>
        <w:t xml:space="preserve"> </w:t>
      </w:r>
      <w:r>
        <w:t xml:space="preserve">to Sigma-Nought (</w:t>
      </w:r>
      <m:oMath>
        <m:sSubSup>
          <m:e>
            <m:r>
              <m:t>σ</m:t>
            </m:r>
          </m:e>
          <m:sub>
            <m:r>
              <m:t>T</m:t>
            </m:r>
          </m:sub>
          <m:sup>
            <m:r>
              <m:t>0</m:t>
            </m:r>
          </m:sup>
        </m:sSubSup>
      </m:oMath>
      <w:r>
        <w:t xml:space="preserve">) backscatter layer for compatibility with legacy software or numerical models.</w:t>
      </w:r>
      <w:r>
        <w:t xml:space="preserve"> </w:t>
      </w:r>
      <w:r>
        <w:t xml:space="preserve">As the NRB product contains backscatter values only, it cannot be directly used for SAR polarimetry or interferometric applications that require relative polarization phase or local phase estimates respectively.</w:t>
      </w:r>
      <w:r>
        <w:t xml:space="preserve"> </w:t>
      </w:r>
      <w:r>
        <w:t xml:space="preserve">However, as an option, a “flattened” phase data layer can be provided with an NRB product for enabling InSAR analysis.</w:t>
      </w:r>
      <w:r>
        <w:t xml:space="preserve"> </w:t>
      </w:r>
      <w:r>
        <w:t xml:space="preserve">The flattened phase is the interferometric phase, with respect to a reference orbit and to a DEM, for which the topographic phase contribution is removed.</w:t>
      </w:r>
    </w:p>
    <w:p>
      <w:r>
        <w:br w:type="page"/>
      </w:r>
    </w:p>
    <w:bookmarkEnd w:id="35"/>
    <w:bookmarkStart w:id="36" w:name="definitions-and-abbreviations"/>
    <w:p>
      <w:pPr>
        <w:pStyle w:val="berschrift2"/>
      </w:pPr>
      <w:r>
        <w:t xml:space="preserve">Definitions and Abbreviations</w:t>
      </w:r>
    </w:p>
    <w:p>
      <w:pPr>
        <w:pStyle w:val="DefinitionTerm"/>
      </w:pPr>
      <w:r>
        <w:t xml:space="preserve">ALE</w:t>
      </w:r>
    </w:p>
    <w:p>
      <w:pPr>
        <w:pStyle w:val="Definition"/>
      </w:pPr>
      <w:r>
        <w:t xml:space="preserve">Absolute Geolocation Error</w:t>
      </w:r>
    </w:p>
    <w:p>
      <w:pPr>
        <w:pStyle w:val="DefinitionTerm"/>
      </w:pPr>
      <w:r>
        <w:t xml:space="preserve">ATBD</w:t>
      </w:r>
    </w:p>
    <w:p>
      <w:pPr>
        <w:pStyle w:val="Definition"/>
      </w:pPr>
      <w:r>
        <w:t xml:space="preserve">Algorithm Theoretical Basis Document</w:t>
      </w:r>
    </w:p>
    <w:p>
      <w:pPr>
        <w:pStyle w:val="DefinitionTerm"/>
      </w:pPr>
      <w:r>
        <w:t xml:space="preserve">Auxiliary Data</w:t>
      </w:r>
    </w:p>
    <w:p>
      <w:pPr>
        <w:pStyle w:val="Definition"/>
      </w:pPr>
      <w:r>
        <w:t xml:space="preserve">The data required for instrument processing, which does not originate in the instrument itself or from the satellite. Some auxiliary data will be generated in the ground segment, whilst other data will be provided from external sources, e.g., DEM, aerosols.</w:t>
      </w:r>
    </w:p>
    <w:p>
      <w:pPr>
        <w:pStyle w:val="DefinitionTerm"/>
      </w:pPr>
      <w:r>
        <w:t xml:space="preserve">CEOS-ARD</w:t>
      </w:r>
    </w:p>
    <w:p>
      <w:pPr>
        <w:pStyle w:val="Definition"/>
      </w:pPr>
      <w:r>
        <w:t xml:space="preserve">Committee on Earth Observation Satellites - Analysis Ready Data</w:t>
      </w:r>
    </w:p>
    <w:p>
      <w:pPr>
        <w:pStyle w:val="DefinitionTerm"/>
      </w:pPr>
      <w:r>
        <w:t xml:space="preserve">CovMat</w:t>
      </w:r>
    </w:p>
    <w:p>
      <w:pPr>
        <w:pStyle w:val="Definition"/>
      </w:pPr>
      <w:r>
        <w:t xml:space="preserve">Normalised Radar Covariance Matrix</w:t>
      </w:r>
    </w:p>
    <w:p>
      <w:pPr>
        <w:pStyle w:val="DefinitionTerm"/>
      </w:pPr>
      <w:r>
        <w:t xml:space="preserve">CRS</w:t>
      </w:r>
    </w:p>
    <w:p>
      <w:pPr>
        <w:pStyle w:val="Definition"/>
      </w:pPr>
      <w:r>
        <w:t xml:space="preserve">Coordinate Reference System</w:t>
      </w:r>
    </w:p>
    <w:p>
      <w:pPr>
        <w:pStyle w:val="DefinitionTerm"/>
      </w:pPr>
      <w:r>
        <w:t xml:space="preserve">DEM</w:t>
      </w:r>
    </w:p>
    <w:p>
      <w:pPr>
        <w:pStyle w:val="Definition"/>
      </w:pPr>
      <w:r>
        <w:t xml:space="preserve">Digital Elevation Model</w:t>
      </w:r>
    </w:p>
    <w:p>
      <w:pPr>
        <w:pStyle w:val="DefinitionTerm"/>
      </w:pPr>
      <w:r>
        <w:t xml:space="preserve">DOI</w:t>
      </w:r>
    </w:p>
    <w:p>
      <w:pPr>
        <w:pStyle w:val="Definition"/>
      </w:pPr>
      <w:r>
        <w:t xml:space="preserve">Digital Object Identifier</w:t>
      </w:r>
    </w:p>
    <w:p>
      <w:pPr>
        <w:pStyle w:val="DefinitionTerm"/>
      </w:pPr>
      <w:r>
        <w:t xml:space="preserve">DSM</w:t>
      </w:r>
    </w:p>
    <w:p>
      <w:pPr>
        <w:pStyle w:val="Definition"/>
      </w:pPr>
      <w:r>
        <w:t xml:space="preserve">Digital Surface Model</w:t>
      </w:r>
    </w:p>
    <w:p>
      <w:pPr>
        <w:pStyle w:val="DefinitionTerm"/>
      </w:pPr>
      <w:r>
        <w:t xml:space="preserve">EGM</w:t>
      </w:r>
    </w:p>
    <w:p>
      <w:pPr>
        <w:pStyle w:val="Definition"/>
      </w:pPr>
      <w:r>
        <w:t xml:space="preserve">Earth Gravitational Model</w:t>
      </w:r>
    </w:p>
    <w:p>
      <w:pPr>
        <w:pStyle w:val="DefinitionTerm"/>
      </w:pPr>
      <w:r>
        <w:t xml:space="preserve">ENL</w:t>
      </w:r>
    </w:p>
    <w:p>
      <w:pPr>
        <w:pStyle w:val="Definition"/>
      </w:pPr>
      <w:r>
        <w:t xml:space="preserve">Equivalent Number of Looks</w:t>
      </w:r>
    </w:p>
    <w:p>
      <w:pPr>
        <w:pStyle w:val="DefinitionTerm"/>
      </w:pPr>
      <w:r>
        <w:t xml:space="preserve">EPSG Code</w:t>
      </w:r>
    </w:p>
    <w:p>
      <w:pPr>
        <w:pStyle w:val="Definition"/>
      </w:pPr>
      <w:r>
        <w:t xml:space="preserve">An EPSG code is a unique identifier assigned to e.g. a specific coordinate reference system (CRS) by the European Petroleum Survey Group (EPSG).</w:t>
      </w:r>
    </w:p>
    <w:p>
      <w:pPr>
        <w:pStyle w:val="DefinitionTerm"/>
      </w:pPr>
      <w:r>
        <w:t xml:space="preserve">GSLC</w:t>
      </w:r>
    </w:p>
    <w:p>
      <w:pPr>
        <w:pStyle w:val="Definition"/>
      </w:pPr>
      <w:r>
        <w:t xml:space="preserve">Geocoded Single-Look Complex</w:t>
      </w:r>
    </w:p>
    <w:p>
      <w:pPr>
        <w:pStyle w:val="DefinitionTerm"/>
      </w:pPr>
      <w:r>
        <w:t xml:space="preserve">InSAR</w:t>
      </w:r>
    </w:p>
    <w:p>
      <w:pPr>
        <w:pStyle w:val="Definition"/>
      </w:pPr>
      <w:r>
        <w:t xml:space="preserve">Interferometric Radar</w:t>
      </w:r>
    </w:p>
    <w:p>
      <w:pPr>
        <w:pStyle w:val="DefinitionTerm"/>
      </w:pPr>
      <w:r>
        <w:t xml:space="preserve">ISLR</w:t>
      </w:r>
    </w:p>
    <w:p>
      <w:pPr>
        <w:pStyle w:val="Definition"/>
      </w:pPr>
      <w:r>
        <w:t xml:space="preserve">Intensity Signal-to-Noise Level Ratio</w:t>
      </w:r>
    </w:p>
    <w:p>
      <w:pPr>
        <w:pStyle w:val="DefinitionTerm"/>
      </w:pPr>
      <w:r>
        <w:t xml:space="preserve">LUT</w:t>
      </w:r>
    </w:p>
    <w:p>
      <w:pPr>
        <w:pStyle w:val="Definition"/>
      </w:pPr>
      <w:r>
        <w:t xml:space="preserve">Look-Up Table</w:t>
      </w:r>
    </w:p>
    <w:p>
      <w:pPr>
        <w:pStyle w:val="DefinitionTerm"/>
      </w:pPr>
      <w:r>
        <w:t xml:space="preserve">Metadata</w:t>
      </w:r>
    </w:p>
    <w:p>
      <w:pPr>
        <w:pStyle w:val="Definition"/>
      </w:pPr>
      <w:r>
        <w:t xml:space="preserve">Structured information that describes other information or information services. With well-defined metadata, users should be able to get basic information about data, without the need to have knowledge about its entire content.</w:t>
      </w:r>
    </w:p>
    <w:p>
      <w:pPr>
        <w:pStyle w:val="DefinitionTerm"/>
      </w:pPr>
      <w:r>
        <w:t xml:space="preserve">NRB</w:t>
      </w:r>
    </w:p>
    <w:p>
      <w:pPr>
        <w:pStyle w:val="Definition"/>
      </w:pPr>
      <w:r>
        <w:t xml:space="preserve">Normalised Radar Backscatter</w:t>
      </w:r>
    </w:p>
    <w:p>
      <w:pPr>
        <w:pStyle w:val="DefinitionTerm"/>
      </w:pPr>
      <w:r>
        <w:t xml:space="preserve">ORB</w:t>
      </w:r>
    </w:p>
    <w:p>
      <w:pPr>
        <w:pStyle w:val="Definition"/>
      </w:pPr>
      <w:r>
        <w:t xml:space="preserve">Ocean Radar Backscatter</w:t>
      </w:r>
    </w:p>
    <w:p>
      <w:pPr>
        <w:pStyle w:val="DefinitionTerm"/>
      </w:pPr>
      <w:r>
        <w:t xml:space="preserve">PFS</w:t>
      </w:r>
    </w:p>
    <w:p>
      <w:pPr>
        <w:pStyle w:val="Definition"/>
      </w:pPr>
      <w:r>
        <w:t xml:space="preserve">Product Family Specification</w:t>
      </w:r>
    </w:p>
    <w:p>
      <w:pPr>
        <w:pStyle w:val="DefinitionTerm"/>
      </w:pPr>
      <w:r>
        <w:t xml:space="preserve">POL</w:t>
      </w:r>
    </w:p>
    <w:p>
      <w:pPr>
        <w:pStyle w:val="Definition"/>
      </w:pPr>
      <w:r>
        <w:t xml:space="preserve">Polarimetric Radar</w:t>
      </w:r>
    </w:p>
    <w:p>
      <w:pPr>
        <w:pStyle w:val="DefinitionTerm"/>
      </w:pPr>
      <w:r>
        <w:t xml:space="preserve">PSLR</w:t>
      </w:r>
    </w:p>
    <w:p>
      <w:pPr>
        <w:pStyle w:val="Definition"/>
      </w:pPr>
      <w:r>
        <w:t xml:space="preserve">Polarimetric Signal-to-Noise Level Ratio</w:t>
      </w:r>
    </w:p>
    <w:p>
      <w:pPr>
        <w:pStyle w:val="DefinitionTerm"/>
      </w:pPr>
      <w:r>
        <w:t xml:space="preserve">rRMSE</w:t>
      </w:r>
    </w:p>
    <w:p>
      <w:pPr>
        <w:pStyle w:val="Definition"/>
      </w:pPr>
      <w:r>
        <w:t xml:space="preserve">Radial Root Mean Square Error</w:t>
      </w:r>
    </w:p>
    <w:p>
      <w:pPr>
        <w:pStyle w:val="DefinitionTerm"/>
      </w:pPr>
      <w:r>
        <w:t xml:space="preserve">RTC</w:t>
      </w:r>
    </w:p>
    <w:p>
      <w:pPr>
        <w:pStyle w:val="Definition"/>
      </w:pPr>
      <w:r>
        <w:t xml:space="preserve">Radiometrically Terrain Corrected</w:t>
      </w:r>
    </w:p>
    <w:p>
      <w:pPr>
        <w:pStyle w:val="DefinitionTerm"/>
      </w:pPr>
      <w:r>
        <w:t xml:space="preserve">SAR</w:t>
      </w:r>
    </w:p>
    <w:p>
      <w:pPr>
        <w:pStyle w:val="Definition"/>
      </w:pPr>
      <w:r>
        <w:t xml:space="preserve">Synthetic Aperture Radar</w:t>
      </w:r>
    </w:p>
    <w:p>
      <w:pPr>
        <w:pStyle w:val="DefinitionTerm"/>
      </w:pPr>
      <w:r>
        <w:t xml:space="preserve">SI</w:t>
      </w:r>
    </w:p>
    <w:p>
      <w:pPr>
        <w:pStyle w:val="Definition"/>
      </w:pPr>
      <w:r>
        <w:t xml:space="preserve">International System of Units, internationally known by the abbreviation SI (from French Système international d’unités)</w:t>
      </w:r>
    </w:p>
    <w:p>
      <w:pPr>
        <w:pStyle w:val="DefinitionTerm"/>
      </w:pPr>
      <w:r>
        <w:t xml:space="preserve">SLC</w:t>
      </w:r>
    </w:p>
    <w:p>
      <w:pPr>
        <w:pStyle w:val="Definition"/>
      </w:pPr>
      <w:r>
        <w:t xml:space="preserve">Single-Look Complex</w:t>
      </w:r>
    </w:p>
    <w:p>
      <w:pPr>
        <w:pStyle w:val="DefinitionTerm"/>
      </w:pPr>
      <w:r>
        <w:t xml:space="preserve">STAC</w:t>
      </w:r>
    </w:p>
    <w:p>
      <w:pPr>
        <w:pStyle w:val="Definition"/>
      </w:pPr>
      <w:r>
        <w:t xml:space="preserve">SpatioTemporal Asset Catalog</w:t>
      </w:r>
    </w:p>
    <w:p>
      <w:pPr>
        <w:pStyle w:val="DefinitionTerm"/>
      </w:pPr>
      <w:r>
        <w:t xml:space="preserve">UPS</w:t>
      </w:r>
    </w:p>
    <w:p>
      <w:pPr>
        <w:pStyle w:val="Definition"/>
      </w:pPr>
      <w:r>
        <w:t xml:space="preserve">Universal Polar Stereographic</w:t>
      </w:r>
    </w:p>
    <w:p>
      <w:pPr>
        <w:pStyle w:val="DefinitionTerm"/>
      </w:pPr>
      <w:r>
        <w:t xml:space="preserve">URL</w:t>
      </w:r>
    </w:p>
    <w:p>
      <w:pPr>
        <w:pStyle w:val="Definition"/>
      </w:pPr>
      <w:r>
        <w:t xml:space="preserve">Uniform Resource Locator, a reference to a web resource that specifies its location on a computer network and a mechanism for retrieving it.</w:t>
      </w:r>
    </w:p>
    <w:p>
      <w:pPr>
        <w:pStyle w:val="DefinitionTerm"/>
      </w:pPr>
      <w:r>
        <w:t xml:space="preserve">UTC</w:t>
      </w:r>
    </w:p>
    <w:p>
      <w:pPr>
        <w:pStyle w:val="Definition"/>
      </w:pPr>
      <w:r>
        <w:t xml:space="preserve">Coordinated Universal Time</w:t>
      </w:r>
    </w:p>
    <w:p>
      <w:pPr>
        <w:pStyle w:val="DefinitionTerm"/>
      </w:pPr>
      <w:r>
        <w:t xml:space="preserve">UTM</w:t>
      </w:r>
    </w:p>
    <w:p>
      <w:pPr>
        <w:pStyle w:val="Definition"/>
      </w:pPr>
      <w:r>
        <w:t xml:space="preserve">Universal Transverse Mercator</w:t>
      </w:r>
    </w:p>
    <w:p>
      <w:pPr>
        <w:pStyle w:val="DefinitionTerm"/>
      </w:pPr>
      <w:r>
        <w:t xml:space="preserve">WGS84</w:t>
      </w:r>
    </w:p>
    <w:p>
      <w:pPr>
        <w:pStyle w:val="Definition"/>
      </w:pPr>
      <w:r>
        <w:t xml:space="preserve">World Geodetic System 1984</w:t>
      </w:r>
    </w:p>
    <w:p>
      <w:pPr>
        <w:pStyle w:val="DefinitionTerm"/>
      </w:pPr>
      <w:r>
        <w:t xml:space="preserve">WKT</w:t>
      </w:r>
    </w:p>
    <w:p>
      <w:pPr>
        <w:pStyle w:val="Definition"/>
      </w:pPr>
      <w:r>
        <w:t xml:space="preserve">Well-Known Text (WKT) is a text markup language for representing vector geometry objects on a map, spatial reference systems of spatial objects, and transformations between spatial reference systems.</w:t>
      </w:r>
      <w:r>
        <w:t xml:space="preserve"> </w:t>
      </w:r>
      <w:r>
        <w:t xml:space="preserve">The formats were originally defined by the Open Geospatial Consortium (OGC) and described in their Simple Feature Access and Coordinate Transformation Service specifications.</w:t>
      </w:r>
    </w:p>
    <w:p>
      <w:r>
        <w:br w:type="page"/>
      </w:r>
    </w:p>
    <w:bookmarkEnd w:id="36"/>
    <w:bookmarkStart w:id="253" w:name="requirements"/>
    <w:p>
      <w:pPr>
        <w:pStyle w:val="berschrift2"/>
      </w:pPr>
      <w:r>
        <w:t xml:space="preserve">Requirements</w:t>
      </w:r>
    </w:p>
    <w:p>
      <w:pPr>
        <w:pStyle w:val="FirstParagraph"/>
      </w:pPr>
      <w:r>
        <w:rPr>
          <w:b/>
          <w:bCs/>
        </w:rPr>
        <w:t xml:space="preserve">WARNING:</w:t>
      </w:r>
      <w:r>
        <w:t xml:space="preserve"> </w:t>
      </w:r>
      <w:r>
        <w:t xml:space="preserve">The section numbers in front of the title (e.g. 1.1) are not stable and may change or may be removed at any time.</w:t>
      </w:r>
      <w:r>
        <w:t xml:space="preserve"> </w:t>
      </w:r>
      <w:r>
        <w:t xml:space="preserve">Do</w:t>
      </w:r>
      <w:r>
        <w:t xml:space="preserve"> </w:t>
      </w:r>
      <w:r>
        <w:rPr>
          <w:b/>
          <w:bCs/>
        </w:rPr>
        <w:t xml:space="preserve">not</w:t>
      </w:r>
      <w:r>
        <w:t xml:space="preserve"> </w:t>
      </w:r>
      <w:r>
        <w:t xml:space="preserve">use the numbers to refer back to specific requirements!</w:t>
      </w:r>
      <w:r>
        <w:t xml:space="preserve"> </w:t>
      </w:r>
      <w:r>
        <w:t xml:space="preserve">Instead, use the textual identifier that is provided below the title.</w:t>
      </w:r>
    </w:p>
    <w:bookmarkStart w:id="57" w:name="sec:meta"/>
    <w:p>
      <w:pPr>
        <w:pStyle w:val="berschrift3"/>
      </w:pPr>
      <w:r>
        <w:rPr>
          <w:rStyle w:val="VerbatimChar"/>
        </w:rPr>
        <w:t xml:space="preserve">1.</w:t>
      </w:r>
      <w:r>
        <w:t xml:space="preserve"> </w:t>
      </w:r>
      <w:r>
        <w:t xml:space="preserve">General Metadata</w:t>
      </w:r>
    </w:p>
    <w:p>
      <w:pPr>
        <w:pStyle w:val="FirstParagraph"/>
      </w:pPr>
      <w:r>
        <w:t xml:space="preserve">These are metadata records describing a distributed collection of pixels.</w:t>
      </w:r>
      <w:r>
        <w:t xml:space="preserve"> </w:t>
      </w:r>
      <w:r>
        <w:t xml:space="preserve">The collection of pixels referred to must be contiguous in space and time.</w:t>
      </w:r>
      <w:r>
        <w:t xml:space="preserve"> </w:t>
      </w:r>
      <w:r>
        <w:t xml:space="preserve">General metadata should allow the user to assess the</w:t>
      </w:r>
      <w:r>
        <w:t xml:space="preserve"> </w:t>
      </w:r>
      <w:r>
        <w:rPr>
          <w:i/>
          <w:iCs/>
        </w:rPr>
        <w:t xml:space="preserve">overall</w:t>
      </w:r>
      <w:r>
        <w:t xml:space="preserve"> </w:t>
      </w:r>
      <w:r>
        <w:t xml:space="preserve">suitability of the dataset, and must meet the requirements listed below.</w:t>
      </w:r>
    </w:p>
    <w:bookmarkStart w:id="40" w:name="sec:meta-trace-sar"/>
    <w:p>
      <w:pPr>
        <w:pStyle w:val="berschrift4"/>
      </w:pPr>
      <w:r>
        <w:rPr>
          <w:rStyle w:val="VerbatimChar"/>
        </w:rPr>
        <w:t xml:space="preserve">1.1.</w:t>
      </w:r>
      <w:r>
        <w:t xml:space="preserve"> </w:t>
      </w:r>
      <w:r>
        <w:t xml:space="preserve">Traceability</w:t>
      </w:r>
    </w:p>
    <w:p>
      <w:pPr>
        <w:pStyle w:val="FirstParagraph"/>
      </w:pPr>
      <w:r>
        <w:t xml:space="preserve">Identifier:</w:t>
      </w:r>
      <w:r>
        <w:t xml:space="preserve"> </w:t>
      </w:r>
      <w:r>
        <w:rPr>
          <w:rStyle w:val="VerbatimChar"/>
        </w:rPr>
        <w:t xml:space="preserve">meta-trace-sar</w:t>
      </w:r>
    </w:p>
    <w:bookmarkStart w:id="37" w:name="threshold-requirements"/>
    <w:p>
      <w:pPr>
        <w:pStyle w:val="berschrift5"/>
      </w:pPr>
      <w:r>
        <w:t xml:space="preserve">Threshold requirements:</w:t>
      </w:r>
    </w:p>
    <w:p>
      <w:pPr>
        <w:pStyle w:val="FirstParagraph"/>
      </w:pPr>
      <w:r>
        <w:t xml:space="preserve">Not required.</w:t>
      </w:r>
      <w:r>
        <w:t xml:space="preserve"> </w:t>
      </w:r>
    </w:p>
    <w:bookmarkEnd w:id="37"/>
    <w:bookmarkStart w:id="38" w:name="goal-requirements"/>
    <w:p>
      <w:pPr>
        <w:pStyle w:val="berschrift5"/>
      </w:pPr>
      <w:r>
        <w:t xml:space="preserve">Goal requirements:</w:t>
      </w:r>
    </w:p>
    <w:p>
      <w:pPr>
        <w:pStyle w:val="FirstParagraph"/>
      </w:pPr>
      <w:r>
        <w:t xml:space="preserve">Data must be traceable to SI reference standard.</w:t>
      </w:r>
    </w:p>
    <w:p>
      <w:pPr>
        <w:pStyle w:val="Textkrper"/>
      </w:pPr>
      <w:r>
        <w:t xml:space="preserve">Notes:</w:t>
      </w:r>
    </w:p>
    <w:p>
      <w:pPr>
        <w:pStyle w:val="Compact"/>
        <w:numPr>
          <w:ilvl w:val="0"/>
          <w:numId w:val="1003"/>
        </w:numPr>
      </w:pPr>
      <w:r>
        <w:t xml:space="preserve">Relationship to Section </w:t>
      </w:r>
      <w:r>
        <w:t xml:space="preserve">“</w:t>
      </w:r>
      <w:hyperlink w:anchor="sec:rcm-radacc-sar">
        <w:r>
          <w:rPr>
            <w:rStyle w:val="Hyperlink"/>
          </w:rPr>
          <w:t xml:space="preserve">Radiometrically Corrected Measurements: Radiometric Accuracy</w:t>
        </w:r>
      </w:hyperlink>
      <w:r>
        <w:t xml:space="preserve">”</w:t>
      </w:r>
      <w:r>
        <w:t xml:space="preserve">. Traceability requires an estimate of measurement uncertainty.</w:t>
      </w:r>
    </w:p>
    <w:p>
      <w:pPr>
        <w:pStyle w:val="Compact"/>
        <w:numPr>
          <w:ilvl w:val="0"/>
          <w:numId w:val="1003"/>
        </w:numPr>
      </w:pPr>
      <w:r>
        <w:t xml:space="preserve">Information on traceability should be available in the metadata as a single DOI landing page.</w:t>
      </w:r>
    </w:p>
    <w:bookmarkEnd w:id="38"/>
    <w:bookmarkStart w:id="39" w:name="assessment"/>
    <w:p>
      <w:pPr>
        <w:pStyle w:val="berschrift5"/>
      </w:pPr>
      <w:r>
        <w:t xml:space="preserve">Assessment:</w:t>
      </w:r>
    </w:p>
    <w:p>
      <w:pPr>
        <w:pStyle w:val="Compact"/>
        <w:numPr>
          <w:ilvl w:val="0"/>
          <w:numId w:val="1004"/>
        </w:numPr>
      </w:pPr>
      <w:r>
        <w:t xml:space="preserve">Threshold Self-Assessment:</w:t>
      </w:r>
    </w:p>
    <w:p>
      <w:pPr>
        <w:pStyle w:val="Compact"/>
        <w:numPr>
          <w:ilvl w:val="0"/>
          <w:numId w:val="1004"/>
        </w:numPr>
      </w:pPr>
      <w:r>
        <w:t xml:space="preserve">Goal Self-Assessment:</w:t>
      </w:r>
    </w:p>
    <w:p>
      <w:pPr>
        <w:pStyle w:val="Compact"/>
        <w:numPr>
          <w:ilvl w:val="0"/>
          <w:numId w:val="1004"/>
        </w:numPr>
      </w:pPr>
      <w:r>
        <w:t xml:space="preserve">Self-Assessment Explanation/ Justification:</w:t>
      </w:r>
    </w:p>
    <w:p>
      <w:pPr>
        <w:pStyle w:val="Compact"/>
        <w:numPr>
          <w:ilvl w:val="0"/>
          <w:numId w:val="1004"/>
        </w:numPr>
      </w:pPr>
      <w:r>
        <w:t xml:space="preserve">Recommended Requirement Modification:</w:t>
      </w:r>
    </w:p>
    <w:p>
      <w:r>
        <w:pict>
          <v:rect style="width:0;height:1.5pt" o:hralign="center" o:hrstd="t" o:hr="t"/>
        </w:pict>
      </w:r>
    </w:p>
    <w:bookmarkEnd w:id="39"/>
    <w:bookmarkEnd w:id="40"/>
    <w:bookmarkStart w:id="44" w:name="sec:meta-memare-sar"/>
    <w:p>
      <w:pPr>
        <w:pStyle w:val="berschrift4"/>
      </w:pPr>
      <w:r>
        <w:rPr>
          <w:rStyle w:val="VerbatimChar"/>
        </w:rPr>
        <w:t xml:space="preserve">1.2.</w:t>
      </w:r>
      <w:r>
        <w:t xml:space="preserve"> </w:t>
      </w:r>
      <w:r>
        <w:t xml:space="preserve">Metadata Machine Readability</w:t>
      </w:r>
    </w:p>
    <w:p>
      <w:pPr>
        <w:pStyle w:val="FirstParagraph"/>
      </w:pPr>
      <w:r>
        <w:t xml:space="preserve">Identifier:</w:t>
      </w:r>
      <w:r>
        <w:t xml:space="preserve"> </w:t>
      </w:r>
      <w:r>
        <w:rPr>
          <w:rStyle w:val="VerbatimChar"/>
        </w:rPr>
        <w:t xml:space="preserve">meta-memare-sar</w:t>
      </w:r>
    </w:p>
    <w:bookmarkStart w:id="41" w:name="threshold-requirements-1"/>
    <w:p>
      <w:pPr>
        <w:pStyle w:val="berschrift5"/>
      </w:pPr>
      <w:r>
        <w:t xml:space="preserve">Threshold requirements:</w:t>
      </w:r>
    </w:p>
    <w:p>
      <w:pPr>
        <w:pStyle w:val="FirstParagraph"/>
      </w:pPr>
      <w:r>
        <w:t xml:space="preserve">Metadata is provided in a structure that enables a computer algorithm to be used to consistently and automatically identify and extract each component/variable/layer for further use.</w:t>
      </w:r>
    </w:p>
    <w:bookmarkEnd w:id="41"/>
    <w:bookmarkStart w:id="42" w:name="goal-requirements-1"/>
    <w:p>
      <w:pPr>
        <w:pStyle w:val="berschrift5"/>
      </w:pPr>
      <w:r>
        <w:t xml:space="preserve">Goal requirements:</w:t>
      </w:r>
    </w:p>
    <w:p>
      <w:pPr>
        <w:pStyle w:val="FirstParagraph"/>
      </w:pPr>
      <w:r>
        <w:t xml:space="preserve">As threshold, but metadata is formatted in accordance with CEOS-ARD SAR Metadata Specifications, v.1.1, or in a community endorsed standard that facilitates machine-readability, such as ISO 19115-2, Climate and Forecast (CF) convention, the Attribute Convention for Data Discovery (ACDD), etc.</w:t>
      </w:r>
    </w:p>
    <w:bookmarkEnd w:id="42"/>
    <w:bookmarkStart w:id="43" w:name="assessment-1"/>
    <w:p>
      <w:pPr>
        <w:pStyle w:val="berschrift5"/>
      </w:pPr>
      <w:r>
        <w:t xml:space="preserve">Assessment:</w:t>
      </w:r>
    </w:p>
    <w:p>
      <w:pPr>
        <w:pStyle w:val="Compact"/>
        <w:numPr>
          <w:ilvl w:val="0"/>
          <w:numId w:val="1005"/>
        </w:numPr>
      </w:pPr>
      <w:r>
        <w:t xml:space="preserve">Threshold Self-Assessment:</w:t>
      </w:r>
    </w:p>
    <w:p>
      <w:pPr>
        <w:pStyle w:val="Compact"/>
        <w:numPr>
          <w:ilvl w:val="0"/>
          <w:numId w:val="1005"/>
        </w:numPr>
      </w:pPr>
      <w:r>
        <w:t xml:space="preserve">Goal Self-Assessment:</w:t>
      </w:r>
    </w:p>
    <w:p>
      <w:pPr>
        <w:pStyle w:val="Compact"/>
        <w:numPr>
          <w:ilvl w:val="0"/>
          <w:numId w:val="1005"/>
        </w:numPr>
      </w:pPr>
      <w:r>
        <w:t xml:space="preserve">Self-Assessment Explanation/ Justification:</w:t>
      </w:r>
    </w:p>
    <w:p>
      <w:pPr>
        <w:pStyle w:val="Compact"/>
        <w:numPr>
          <w:ilvl w:val="0"/>
          <w:numId w:val="1005"/>
        </w:numPr>
      </w:pPr>
      <w:r>
        <w:t xml:space="preserve">Recommended Requirement Modification:</w:t>
      </w:r>
    </w:p>
    <w:p>
      <w:r>
        <w:pict>
          <v:rect style="width:0;height:1.5pt" o:hralign="center" o:hrstd="t" o:hr="t"/>
        </w:pict>
      </w:r>
    </w:p>
    <w:bookmarkEnd w:id="43"/>
    <w:bookmarkEnd w:id="44"/>
    <w:bookmarkStart w:id="48" w:name="sec:meta-protype"/>
    <w:p>
      <w:pPr>
        <w:pStyle w:val="berschrift4"/>
      </w:pPr>
      <w:r>
        <w:rPr>
          <w:rStyle w:val="VerbatimChar"/>
        </w:rPr>
        <w:t xml:space="preserve">1.3.</w:t>
      </w:r>
      <w:r>
        <w:t xml:space="preserve"> </w:t>
      </w:r>
      <w:r>
        <w:t xml:space="preserve">Product Type</w:t>
      </w:r>
    </w:p>
    <w:p>
      <w:pPr>
        <w:pStyle w:val="FirstParagraph"/>
      </w:pPr>
      <w:r>
        <w:t xml:space="preserve">Identifier:</w:t>
      </w:r>
      <w:r>
        <w:t xml:space="preserve"> </w:t>
      </w:r>
      <w:r>
        <w:rPr>
          <w:rStyle w:val="VerbatimChar"/>
        </w:rPr>
        <w:t xml:space="preserve">meta-protype</w:t>
      </w:r>
    </w:p>
    <w:bookmarkStart w:id="45" w:name="threshold-requirements-2"/>
    <w:p>
      <w:pPr>
        <w:pStyle w:val="berschrift5"/>
      </w:pPr>
      <w:r>
        <w:t xml:space="preserve">Threshold requirements:</w:t>
      </w:r>
    </w:p>
    <w:p>
      <w:pPr>
        <w:pStyle w:val="FirstParagraph"/>
      </w:pPr>
      <w:r>
        <w:t xml:space="preserve">CEOS-ARD product type name – or names in case of compliance with more than one product type – and, if required by the data provider, copyright.</w:t>
      </w:r>
    </w:p>
    <w:bookmarkEnd w:id="45"/>
    <w:bookmarkStart w:id="46" w:name="goal-requirements-2"/>
    <w:p>
      <w:pPr>
        <w:pStyle w:val="berschrift5"/>
      </w:pPr>
      <w:r>
        <w:t xml:space="preserve">Goal requirements:</w:t>
      </w:r>
    </w:p>
    <w:p>
      <w:pPr>
        <w:pStyle w:val="FirstParagraph"/>
      </w:pPr>
      <w:r>
        <w:t xml:space="preserve">As threshold.</w:t>
      </w:r>
      <w:r>
        <w:t xml:space="preserve"> </w:t>
      </w:r>
    </w:p>
    <w:bookmarkEnd w:id="46"/>
    <w:bookmarkStart w:id="47" w:name="assessment-2"/>
    <w:p>
      <w:pPr>
        <w:pStyle w:val="berschrift5"/>
      </w:pPr>
      <w:r>
        <w:t xml:space="preserve">Assessment:</w:t>
      </w:r>
    </w:p>
    <w:p>
      <w:pPr>
        <w:pStyle w:val="Compact"/>
        <w:numPr>
          <w:ilvl w:val="0"/>
          <w:numId w:val="1006"/>
        </w:numPr>
      </w:pPr>
      <w:r>
        <w:t xml:space="preserve">Threshold Self-Assessment:</w:t>
      </w:r>
    </w:p>
    <w:p>
      <w:pPr>
        <w:pStyle w:val="Compact"/>
        <w:numPr>
          <w:ilvl w:val="0"/>
          <w:numId w:val="1006"/>
        </w:numPr>
      </w:pPr>
      <w:r>
        <w:t xml:space="preserve">Goal Self-Assessment:</w:t>
      </w:r>
    </w:p>
    <w:p>
      <w:pPr>
        <w:pStyle w:val="Compact"/>
        <w:numPr>
          <w:ilvl w:val="0"/>
          <w:numId w:val="1006"/>
        </w:numPr>
      </w:pPr>
      <w:r>
        <w:t xml:space="preserve">Self-Assessment Explanation/ Justification:</w:t>
      </w:r>
    </w:p>
    <w:p>
      <w:pPr>
        <w:pStyle w:val="Compact"/>
        <w:numPr>
          <w:ilvl w:val="0"/>
          <w:numId w:val="1006"/>
        </w:numPr>
      </w:pPr>
      <w:r>
        <w:t xml:space="preserve">Recommended Requirement Modification:</w:t>
      </w:r>
    </w:p>
    <w:p>
      <w:r>
        <w:pict>
          <v:rect style="width:0;height:1.5pt" o:hralign="center" o:hrstd="t" o:hr="t"/>
        </w:pict>
      </w:r>
    </w:p>
    <w:bookmarkEnd w:id="47"/>
    <w:bookmarkEnd w:id="48"/>
    <w:bookmarkStart w:id="52" w:name="sec:meta-pfsurl"/>
    <w:p>
      <w:pPr>
        <w:pStyle w:val="berschrift4"/>
      </w:pPr>
      <w:r>
        <w:rPr>
          <w:rStyle w:val="VerbatimChar"/>
        </w:rPr>
        <w:t xml:space="preserve">1.4.</w:t>
      </w:r>
      <w:r>
        <w:t xml:space="preserve"> </w:t>
      </w:r>
      <w:r>
        <w:t xml:space="preserve">Document Identifier</w:t>
      </w:r>
    </w:p>
    <w:p>
      <w:pPr>
        <w:pStyle w:val="FirstParagraph"/>
      </w:pPr>
      <w:r>
        <w:t xml:space="preserve">Identifier:</w:t>
      </w:r>
      <w:r>
        <w:t xml:space="preserve"> </w:t>
      </w:r>
      <w:r>
        <w:rPr>
          <w:rStyle w:val="VerbatimChar"/>
        </w:rPr>
        <w:t xml:space="preserve">meta-pfsurl</w:t>
      </w:r>
    </w:p>
    <w:bookmarkStart w:id="49" w:name="threshold-requirements-3"/>
    <w:p>
      <w:pPr>
        <w:pStyle w:val="berschrift5"/>
      </w:pPr>
      <w:r>
        <w:t xml:space="preserve">Threshold requirements:</w:t>
      </w:r>
    </w:p>
    <w:p>
      <w:pPr>
        <w:pStyle w:val="FirstParagraph"/>
      </w:pPr>
      <w:r>
        <w:t xml:space="preserve">Reference to CEOS-ARD PFS document as URL.</w:t>
      </w:r>
    </w:p>
    <w:bookmarkEnd w:id="49"/>
    <w:bookmarkStart w:id="50" w:name="goal-requirements-3"/>
    <w:p>
      <w:pPr>
        <w:pStyle w:val="berschrift5"/>
      </w:pPr>
      <w:r>
        <w:t xml:space="preserve">Goal requirements:</w:t>
      </w:r>
    </w:p>
    <w:p>
      <w:pPr>
        <w:pStyle w:val="FirstParagraph"/>
      </w:pPr>
      <w:r>
        <w:t xml:space="preserve">As threshold.</w:t>
      </w:r>
      <w:r>
        <w:t xml:space="preserve"> </w:t>
      </w:r>
    </w:p>
    <w:bookmarkEnd w:id="50"/>
    <w:bookmarkStart w:id="51" w:name="assessment-3"/>
    <w:p>
      <w:pPr>
        <w:pStyle w:val="berschrift5"/>
      </w:pPr>
      <w:r>
        <w:t xml:space="preserve">Assessment:</w:t>
      </w:r>
    </w:p>
    <w:p>
      <w:pPr>
        <w:pStyle w:val="Compact"/>
        <w:numPr>
          <w:ilvl w:val="0"/>
          <w:numId w:val="1007"/>
        </w:numPr>
      </w:pPr>
      <w:r>
        <w:t xml:space="preserve">Threshold Self-Assessment:</w:t>
      </w:r>
    </w:p>
    <w:p>
      <w:pPr>
        <w:pStyle w:val="Compact"/>
        <w:numPr>
          <w:ilvl w:val="0"/>
          <w:numId w:val="1007"/>
        </w:numPr>
      </w:pPr>
      <w:r>
        <w:t xml:space="preserve">Goal Self-Assessment:</w:t>
      </w:r>
    </w:p>
    <w:p>
      <w:pPr>
        <w:pStyle w:val="Compact"/>
        <w:numPr>
          <w:ilvl w:val="0"/>
          <w:numId w:val="1007"/>
        </w:numPr>
      </w:pPr>
      <w:r>
        <w:t xml:space="preserve">Self-Assessment Explanation/ Justification:</w:t>
      </w:r>
    </w:p>
    <w:p>
      <w:pPr>
        <w:pStyle w:val="Compact"/>
        <w:numPr>
          <w:ilvl w:val="0"/>
          <w:numId w:val="1007"/>
        </w:numPr>
      </w:pPr>
      <w:r>
        <w:t xml:space="preserve">Recommended Requirement Modification:</w:t>
      </w:r>
    </w:p>
    <w:p>
      <w:r>
        <w:pict>
          <v:rect style="width:0;height:1.5pt" o:hralign="center" o:hrstd="t" o:hr="t"/>
        </w:pict>
      </w:r>
    </w:p>
    <w:bookmarkEnd w:id="51"/>
    <w:bookmarkEnd w:id="52"/>
    <w:bookmarkStart w:id="56" w:name="sec:meta-time-sar"/>
    <w:p>
      <w:pPr>
        <w:pStyle w:val="berschrift4"/>
      </w:pPr>
      <w:r>
        <w:rPr>
          <w:rStyle w:val="VerbatimChar"/>
        </w:rPr>
        <w:t xml:space="preserve">1.5.</w:t>
      </w:r>
      <w:r>
        <w:t xml:space="preserve"> </w:t>
      </w:r>
      <w:r>
        <w:t xml:space="preserve">Data Collection Time</w:t>
      </w:r>
    </w:p>
    <w:p>
      <w:pPr>
        <w:pStyle w:val="FirstParagraph"/>
      </w:pPr>
      <w:r>
        <w:t xml:space="preserve">Identifier:</w:t>
      </w:r>
      <w:r>
        <w:t xml:space="preserve"> </w:t>
      </w:r>
      <w:r>
        <w:rPr>
          <w:rStyle w:val="VerbatimChar"/>
        </w:rPr>
        <w:t xml:space="preserve">meta-time-sar</w:t>
      </w:r>
    </w:p>
    <w:bookmarkStart w:id="53" w:name="threshold-requirements-4"/>
    <w:p>
      <w:pPr>
        <w:pStyle w:val="berschrift5"/>
      </w:pPr>
      <w:r>
        <w:t xml:space="preserve">Threshold requirements:</w:t>
      </w:r>
    </w:p>
    <w:p>
      <w:pPr>
        <w:pStyle w:val="FirstParagraph"/>
      </w:pPr>
      <w:r>
        <w:t xml:space="preserve">Number of source data acquisitions of the data collection is identified.</w:t>
      </w:r>
      <w:r>
        <w:t xml:space="preserve"> </w:t>
      </w:r>
      <w:r>
        <w:t xml:space="preserve">The start and stop UTC time of data collection is identified in the metadata, expressed in date/time.</w:t>
      </w:r>
      <w:r>
        <w:t xml:space="preserve"> </w:t>
      </w:r>
      <w:r>
        <w:t xml:space="preserve">In case of composite products, the dates/times of the first and last data takes and the per-pixel metadata Section </w:t>
      </w:r>
      <w:r>
        <w:t xml:space="preserve">“</w:t>
      </w:r>
      <w:hyperlink w:anchor="sec:pxl-pacqid">
        <w:r>
          <w:rPr>
            <w:rStyle w:val="Hyperlink"/>
          </w:rPr>
          <w:t xml:space="preserve">Per-Pixel Metadata: Acquisition ID Image</w:t>
        </w:r>
      </w:hyperlink>
      <w:r>
        <w:t xml:space="preserve">”</w:t>
      </w:r>
      <w:r>
        <w:t xml:space="preserve"> </w:t>
      </w:r>
      <w:r>
        <w:t xml:space="preserve">is provided with the product.</w:t>
      </w:r>
    </w:p>
    <w:bookmarkEnd w:id="53"/>
    <w:bookmarkStart w:id="54" w:name="goal-requirements-4"/>
    <w:p>
      <w:pPr>
        <w:pStyle w:val="berschrift5"/>
      </w:pPr>
      <w:r>
        <w:t xml:space="preserve">Goal requirements:</w:t>
      </w:r>
    </w:p>
    <w:p>
      <w:pPr>
        <w:pStyle w:val="FirstParagraph"/>
      </w:pPr>
      <w:r>
        <w:t xml:space="preserve">As threshold.</w:t>
      </w:r>
      <w:r>
        <w:t xml:space="preserve"> </w:t>
      </w:r>
    </w:p>
    <w:bookmarkEnd w:id="54"/>
    <w:bookmarkStart w:id="55" w:name="assessment-4"/>
    <w:p>
      <w:pPr>
        <w:pStyle w:val="berschrift5"/>
      </w:pPr>
      <w:r>
        <w:t xml:space="preserve">Assessment:</w:t>
      </w:r>
    </w:p>
    <w:p>
      <w:pPr>
        <w:pStyle w:val="Compact"/>
        <w:numPr>
          <w:ilvl w:val="0"/>
          <w:numId w:val="1008"/>
        </w:numPr>
      </w:pPr>
      <w:r>
        <w:t xml:space="preserve">Threshold Self-Assessment:</w:t>
      </w:r>
    </w:p>
    <w:p>
      <w:pPr>
        <w:pStyle w:val="Compact"/>
        <w:numPr>
          <w:ilvl w:val="0"/>
          <w:numId w:val="1008"/>
        </w:numPr>
      </w:pPr>
      <w:r>
        <w:t xml:space="preserve">Goal Self-Assessment:</w:t>
      </w:r>
    </w:p>
    <w:p>
      <w:pPr>
        <w:pStyle w:val="Compact"/>
        <w:numPr>
          <w:ilvl w:val="0"/>
          <w:numId w:val="1008"/>
        </w:numPr>
      </w:pPr>
      <w:r>
        <w:t xml:space="preserve">Self-Assessment Explanation/ Justification:</w:t>
      </w:r>
    </w:p>
    <w:p>
      <w:pPr>
        <w:pStyle w:val="Compact"/>
        <w:numPr>
          <w:ilvl w:val="0"/>
          <w:numId w:val="1008"/>
        </w:numPr>
      </w:pPr>
      <w:r>
        <w:t xml:space="preserve">Recommended Requirement Modification:</w:t>
      </w:r>
    </w:p>
    <w:bookmarkEnd w:id="55"/>
    <w:bookmarkEnd w:id="56"/>
    <w:bookmarkEnd w:id="57"/>
    <w:bookmarkStart w:id="112" w:name="sec:src"/>
    <w:p>
      <w:pPr>
        <w:pStyle w:val="berschrift3"/>
      </w:pPr>
      <w:r>
        <w:rPr>
          <w:rStyle w:val="VerbatimChar"/>
        </w:rPr>
        <w:t xml:space="preserve">2.</w:t>
      </w:r>
      <w:r>
        <w:t xml:space="preserve"> </w:t>
      </w:r>
      <w:r>
        <w:t xml:space="preserve">Source Metadata</w:t>
      </w:r>
    </w:p>
    <w:p>
      <w:pPr>
        <w:pStyle w:val="FirstParagraph"/>
      </w:pPr>
      <w:r>
        <w:t xml:space="preserve">These are metadata records describing (detailing)</w:t>
      </w:r>
      <w:r>
        <w:t xml:space="preserve"> </w:t>
      </w:r>
      <w:r>
        <w:rPr>
          <w:b/>
          <w:bCs/>
        </w:rPr>
        <w:t xml:space="preserve">each</w:t>
      </w:r>
      <w:r>
        <w:t xml:space="preserve"> </w:t>
      </w:r>
      <w:r>
        <w:t xml:space="preserve">acquisition (source data) used to generate the ARD product.</w:t>
      </w:r>
      <w:r>
        <w:t xml:space="preserve"> </w:t>
      </w:r>
      <w:r>
        <w:t xml:space="preserve">This may be one or mutliple acquisitions.</w:t>
      </w:r>
    </w:p>
    <w:bookmarkStart w:id="61" w:name="sec:src-macqid"/>
    <w:p>
      <w:pPr>
        <w:pStyle w:val="berschrift4"/>
      </w:pPr>
      <w:r>
        <w:rPr>
          <w:rStyle w:val="VerbatimChar"/>
        </w:rPr>
        <w:t xml:space="preserve">2.1.</w:t>
      </w:r>
      <w:r>
        <w:t xml:space="preserve"> </w:t>
      </w:r>
      <w:r>
        <w:t xml:space="preserve">Acquisition ID</w:t>
      </w:r>
    </w:p>
    <w:p>
      <w:pPr>
        <w:pStyle w:val="FirstParagraph"/>
      </w:pPr>
      <w:r>
        <w:t xml:space="preserve">Identifier:</w:t>
      </w:r>
      <w:r>
        <w:t xml:space="preserve"> </w:t>
      </w:r>
      <w:r>
        <w:rPr>
          <w:rStyle w:val="VerbatimChar"/>
        </w:rPr>
        <w:t xml:space="preserve">src-macqid</w:t>
      </w:r>
    </w:p>
    <w:bookmarkStart w:id="58" w:name="threshold-requirements-5"/>
    <w:p>
      <w:pPr>
        <w:pStyle w:val="berschrift5"/>
      </w:pPr>
      <w:r>
        <w:t xml:space="preserve">Threshold requirements:</w:t>
      </w:r>
    </w:p>
    <w:p>
      <w:pPr>
        <w:pStyle w:val="FirstParagraph"/>
      </w:pPr>
      <w:r>
        <w:t xml:space="preserve">Each acquisition is identified through a sequential identifier in the metadata, e.g. acqID = 1, 2, 3.</w:t>
      </w:r>
    </w:p>
    <w:bookmarkEnd w:id="58"/>
    <w:bookmarkStart w:id="59" w:name="goal-requirements-5"/>
    <w:p>
      <w:pPr>
        <w:pStyle w:val="berschrift5"/>
      </w:pPr>
      <w:r>
        <w:t xml:space="preserve">Goal requirements:</w:t>
      </w:r>
    </w:p>
    <w:p>
      <w:pPr>
        <w:pStyle w:val="FirstParagraph"/>
      </w:pPr>
      <w:r>
        <w:t xml:space="preserve">As threshold.</w:t>
      </w:r>
      <w:r>
        <w:t xml:space="preserve"> </w:t>
      </w:r>
    </w:p>
    <w:bookmarkEnd w:id="59"/>
    <w:bookmarkStart w:id="60" w:name="assessment-5"/>
    <w:p>
      <w:pPr>
        <w:pStyle w:val="berschrift5"/>
      </w:pPr>
      <w:r>
        <w:t xml:space="preserve">Assessment:</w:t>
      </w:r>
    </w:p>
    <w:p>
      <w:pPr>
        <w:pStyle w:val="Compact"/>
        <w:numPr>
          <w:ilvl w:val="0"/>
          <w:numId w:val="1009"/>
        </w:numPr>
      </w:pPr>
      <w:r>
        <w:t xml:space="preserve">Threshold Self-Assessment:</w:t>
      </w:r>
    </w:p>
    <w:p>
      <w:pPr>
        <w:pStyle w:val="Compact"/>
        <w:numPr>
          <w:ilvl w:val="0"/>
          <w:numId w:val="1009"/>
        </w:numPr>
      </w:pPr>
      <w:r>
        <w:t xml:space="preserve">Goal Self-Assessment:</w:t>
      </w:r>
    </w:p>
    <w:p>
      <w:pPr>
        <w:pStyle w:val="Compact"/>
        <w:numPr>
          <w:ilvl w:val="0"/>
          <w:numId w:val="1009"/>
        </w:numPr>
      </w:pPr>
      <w:r>
        <w:t xml:space="preserve">Self-Assessment Explanation/ Justification:</w:t>
      </w:r>
    </w:p>
    <w:p>
      <w:pPr>
        <w:pStyle w:val="Compact"/>
        <w:numPr>
          <w:ilvl w:val="0"/>
          <w:numId w:val="1009"/>
        </w:numPr>
      </w:pPr>
      <w:r>
        <w:t xml:space="preserve">Recommended Requirement Modification:</w:t>
      </w:r>
    </w:p>
    <w:p>
      <w:r>
        <w:pict>
          <v:rect style="width:0;height:1.5pt" o:hralign="center" o:hrstd="t" o:hr="t"/>
        </w:pict>
      </w:r>
    </w:p>
    <w:bookmarkEnd w:id="60"/>
    <w:bookmarkEnd w:id="61"/>
    <w:bookmarkStart w:id="65" w:name="sec:src-daccess-src"/>
    <w:p>
      <w:pPr>
        <w:pStyle w:val="berschrift4"/>
      </w:pPr>
      <w:r>
        <w:rPr>
          <w:rStyle w:val="VerbatimChar"/>
        </w:rPr>
        <w:t xml:space="preserve">2.2.</w:t>
      </w:r>
      <w:r>
        <w:t xml:space="preserve"> </w:t>
      </w:r>
      <w:r>
        <w:t xml:space="preserve">Source Data Access</w:t>
      </w:r>
    </w:p>
    <w:p>
      <w:pPr>
        <w:pStyle w:val="FirstParagraph"/>
      </w:pPr>
      <w:r>
        <w:t xml:space="preserve">Identifier:</w:t>
      </w:r>
      <w:r>
        <w:t xml:space="preserve"> </w:t>
      </w:r>
      <w:r>
        <w:rPr>
          <w:rStyle w:val="VerbatimChar"/>
        </w:rPr>
        <w:t xml:space="preserve">src-daccess-src</w:t>
      </w:r>
    </w:p>
    <w:bookmarkStart w:id="62" w:name="threshold-requirements-6"/>
    <w:p>
      <w:pPr>
        <w:pStyle w:val="berschrift5"/>
      </w:pPr>
      <w:r>
        <w:t xml:space="preserve">Threshold requirements:</w:t>
      </w:r>
    </w:p>
    <w:p>
      <w:pPr>
        <w:pStyle w:val="FirstParagraph"/>
      </w:pPr>
      <w:r>
        <w:t xml:space="preserve">The metadata identifies the location from where the source data can be retrieved, expressed as a URL or DOI.</w:t>
      </w:r>
    </w:p>
    <w:bookmarkEnd w:id="62"/>
    <w:bookmarkStart w:id="63" w:name="goal-requirements-6"/>
    <w:p>
      <w:pPr>
        <w:pStyle w:val="berschrift5"/>
      </w:pPr>
      <w:r>
        <w:t xml:space="preserve">Goal requirements:</w:t>
      </w:r>
    </w:p>
    <w:p>
      <w:pPr>
        <w:pStyle w:val="FirstParagraph"/>
      </w:pPr>
      <w:r>
        <w:t xml:space="preserve">The metadata identifies an online location from where the data can be consistently and reliably retrieved by a computer algorithm without any manual intervention being required.</w:t>
      </w:r>
    </w:p>
    <w:bookmarkEnd w:id="63"/>
    <w:bookmarkStart w:id="64" w:name="assessment-6"/>
    <w:p>
      <w:pPr>
        <w:pStyle w:val="berschrift5"/>
      </w:pPr>
      <w:r>
        <w:t xml:space="preserve">Assessment:</w:t>
      </w:r>
    </w:p>
    <w:p>
      <w:pPr>
        <w:pStyle w:val="Compact"/>
        <w:numPr>
          <w:ilvl w:val="0"/>
          <w:numId w:val="1010"/>
        </w:numPr>
      </w:pPr>
      <w:r>
        <w:t xml:space="preserve">Threshold Self-Assessment:</w:t>
      </w:r>
    </w:p>
    <w:p>
      <w:pPr>
        <w:pStyle w:val="Compact"/>
        <w:numPr>
          <w:ilvl w:val="0"/>
          <w:numId w:val="1010"/>
        </w:numPr>
      </w:pPr>
      <w:r>
        <w:t xml:space="preserve">Goal Self-Assessment:</w:t>
      </w:r>
    </w:p>
    <w:p>
      <w:pPr>
        <w:pStyle w:val="Compact"/>
        <w:numPr>
          <w:ilvl w:val="0"/>
          <w:numId w:val="1010"/>
        </w:numPr>
      </w:pPr>
      <w:r>
        <w:t xml:space="preserve">Self-Assessment Explanation/ Justification:</w:t>
      </w:r>
    </w:p>
    <w:p>
      <w:pPr>
        <w:pStyle w:val="Compact"/>
        <w:numPr>
          <w:ilvl w:val="0"/>
          <w:numId w:val="1010"/>
        </w:numPr>
      </w:pPr>
      <w:r>
        <w:t xml:space="preserve">Recommended Requirement Modification:</w:t>
      </w:r>
    </w:p>
    <w:p>
      <w:r>
        <w:pict>
          <v:rect style="width:0;height:1.5pt" o:hralign="center" o:hrstd="t" o:hr="t"/>
        </w:pict>
      </w:r>
    </w:p>
    <w:bookmarkEnd w:id="64"/>
    <w:bookmarkEnd w:id="65"/>
    <w:bookmarkStart w:id="70" w:name="sec:src-instru-sar"/>
    <w:p>
      <w:pPr>
        <w:pStyle w:val="berschrift4"/>
      </w:pPr>
      <w:r>
        <w:rPr>
          <w:rStyle w:val="VerbatimChar"/>
        </w:rPr>
        <w:t xml:space="preserve">2.3.</w:t>
      </w:r>
      <w:r>
        <w:t xml:space="preserve"> </w:t>
      </w:r>
      <w:r>
        <w:t xml:space="preserve">Instrument</w:t>
      </w:r>
    </w:p>
    <w:p>
      <w:pPr>
        <w:pStyle w:val="FirstParagraph"/>
      </w:pPr>
      <w:r>
        <w:t xml:space="preserve">Identifier:</w:t>
      </w:r>
      <w:r>
        <w:t xml:space="preserve"> </w:t>
      </w:r>
      <w:r>
        <w:rPr>
          <w:rStyle w:val="VerbatimChar"/>
        </w:rPr>
        <w:t xml:space="preserve">src-instru-sar</w:t>
      </w:r>
    </w:p>
    <w:bookmarkStart w:id="66" w:name="threshold-requirements-7"/>
    <w:p>
      <w:pPr>
        <w:pStyle w:val="berschrift5"/>
      </w:pPr>
      <w:r>
        <w:t xml:space="preserve">Threshold requirements:</w:t>
      </w:r>
    </w:p>
    <w:p>
      <w:pPr>
        <w:pStyle w:val="FirstParagraph"/>
      </w:pPr>
      <w:r>
        <w:t xml:space="preserve">The instrument used to collect the data is identified in the metadata:</w:t>
      </w:r>
    </w:p>
    <w:p>
      <w:pPr>
        <w:pStyle w:val="Compact"/>
        <w:numPr>
          <w:ilvl w:val="0"/>
          <w:numId w:val="1011"/>
        </w:numPr>
      </w:pPr>
      <w:r>
        <w:t xml:space="preserve">Satellite name</w:t>
      </w:r>
    </w:p>
    <w:p>
      <w:pPr>
        <w:pStyle w:val="Compact"/>
        <w:numPr>
          <w:ilvl w:val="0"/>
          <w:numId w:val="1011"/>
        </w:numPr>
      </w:pPr>
      <w:r>
        <w:t xml:space="preserve">Instrument name</w:t>
      </w:r>
    </w:p>
    <w:bookmarkEnd w:id="66"/>
    <w:bookmarkStart w:id="68" w:name="goal-requirements-7"/>
    <w:p>
      <w:pPr>
        <w:pStyle w:val="berschrift5"/>
      </w:pPr>
      <w:r>
        <w:t xml:space="preserve">Goal requirements:</w:t>
      </w:r>
    </w:p>
    <w:p>
      <w:pPr>
        <w:pStyle w:val="FirstParagraph"/>
      </w:pPr>
      <w:r>
        <w:t xml:space="preserve">As threshold, but including a reference to the relevant</w:t>
      </w:r>
      <w:r>
        <w:t xml:space="preserve"> </w:t>
      </w:r>
      <w:hyperlink r:id="rId67">
        <w:r>
          <w:rPr>
            <w:rStyle w:val="Hyperlink"/>
          </w:rPr>
          <w:t xml:space="preserve">CEOS Missions, Instruments and Measurements Database</w:t>
        </w:r>
      </w:hyperlink>
      <w:r>
        <w:t xml:space="preserve"> </w:t>
      </w:r>
      <w:r>
        <w:t xml:space="preserve">record.</w:t>
      </w:r>
    </w:p>
    <w:bookmarkEnd w:id="68"/>
    <w:bookmarkStart w:id="69" w:name="assessment-7"/>
    <w:p>
      <w:pPr>
        <w:pStyle w:val="berschrift5"/>
      </w:pPr>
      <w:r>
        <w:t xml:space="preserve">Assessment:</w:t>
      </w:r>
    </w:p>
    <w:p>
      <w:pPr>
        <w:pStyle w:val="Compact"/>
        <w:numPr>
          <w:ilvl w:val="0"/>
          <w:numId w:val="1012"/>
        </w:numPr>
      </w:pPr>
      <w:r>
        <w:t xml:space="preserve">Threshold Self-Assessment:</w:t>
      </w:r>
    </w:p>
    <w:p>
      <w:pPr>
        <w:pStyle w:val="Compact"/>
        <w:numPr>
          <w:ilvl w:val="0"/>
          <w:numId w:val="1012"/>
        </w:numPr>
      </w:pPr>
      <w:r>
        <w:t xml:space="preserve">Goal Self-Assessment:</w:t>
      </w:r>
    </w:p>
    <w:p>
      <w:pPr>
        <w:pStyle w:val="Compact"/>
        <w:numPr>
          <w:ilvl w:val="0"/>
          <w:numId w:val="1012"/>
        </w:numPr>
      </w:pPr>
      <w:r>
        <w:t xml:space="preserve">Self-Assessment Explanation/ Justification:</w:t>
      </w:r>
    </w:p>
    <w:p>
      <w:pPr>
        <w:pStyle w:val="Compact"/>
        <w:numPr>
          <w:ilvl w:val="0"/>
          <w:numId w:val="1012"/>
        </w:numPr>
      </w:pPr>
      <w:r>
        <w:t xml:space="preserve">Recommended Requirement Modification:</w:t>
      </w:r>
    </w:p>
    <w:p>
      <w:r>
        <w:pict>
          <v:rect style="width:0;height:1.5pt" o:hralign="center" o:hrstd="t" o:hr="t"/>
        </w:pict>
      </w:r>
    </w:p>
    <w:bookmarkEnd w:id="69"/>
    <w:bookmarkEnd w:id="70"/>
    <w:bookmarkStart w:id="74" w:name="sec:src-time-src"/>
    <w:p>
      <w:pPr>
        <w:pStyle w:val="berschrift4"/>
      </w:pPr>
      <w:r>
        <w:rPr>
          <w:rStyle w:val="VerbatimChar"/>
        </w:rPr>
        <w:t xml:space="preserve">2.4.</w:t>
      </w:r>
      <w:r>
        <w:t xml:space="preserve"> </w:t>
      </w:r>
      <w:r>
        <w:t xml:space="preserve">Source Data Acquisition Time</w:t>
      </w:r>
    </w:p>
    <w:p>
      <w:pPr>
        <w:pStyle w:val="FirstParagraph"/>
      </w:pPr>
      <w:r>
        <w:t xml:space="preserve">Identifier:</w:t>
      </w:r>
      <w:r>
        <w:t xml:space="preserve"> </w:t>
      </w:r>
      <w:r>
        <w:rPr>
          <w:rStyle w:val="VerbatimChar"/>
        </w:rPr>
        <w:t xml:space="preserve">src-time-src</w:t>
      </w:r>
    </w:p>
    <w:bookmarkStart w:id="71" w:name="threshold-requirements-8"/>
    <w:p>
      <w:pPr>
        <w:pStyle w:val="berschrift5"/>
      </w:pPr>
      <w:r>
        <w:t xml:space="preserve">Threshold requirements:</w:t>
      </w:r>
    </w:p>
    <w:p>
      <w:pPr>
        <w:pStyle w:val="FirstParagraph"/>
      </w:pPr>
      <w:r>
        <w:t xml:space="preserve">The start date and time of source data is identified in the metadata, expressed in UTC in date and time, at least to the second.</w:t>
      </w:r>
    </w:p>
    <w:bookmarkEnd w:id="71"/>
    <w:bookmarkStart w:id="72" w:name="goal-requirements-8"/>
    <w:p>
      <w:pPr>
        <w:pStyle w:val="berschrift5"/>
      </w:pPr>
      <w:r>
        <w:t xml:space="preserve">Goal requirements:</w:t>
      </w:r>
    </w:p>
    <w:p>
      <w:pPr>
        <w:pStyle w:val="FirstParagraph"/>
      </w:pPr>
      <w:r>
        <w:t xml:space="preserve">As threshold.</w:t>
      </w:r>
      <w:r>
        <w:t xml:space="preserve"> </w:t>
      </w:r>
    </w:p>
    <w:bookmarkEnd w:id="72"/>
    <w:bookmarkStart w:id="73" w:name="assessment-8"/>
    <w:p>
      <w:pPr>
        <w:pStyle w:val="berschrift5"/>
      </w:pPr>
      <w:r>
        <w:t xml:space="preserve">Assessment:</w:t>
      </w:r>
    </w:p>
    <w:p>
      <w:pPr>
        <w:pStyle w:val="Compact"/>
        <w:numPr>
          <w:ilvl w:val="0"/>
          <w:numId w:val="1013"/>
        </w:numPr>
      </w:pPr>
      <w:r>
        <w:t xml:space="preserve">Threshold Self-Assessment:</w:t>
      </w:r>
    </w:p>
    <w:p>
      <w:pPr>
        <w:pStyle w:val="Compact"/>
        <w:numPr>
          <w:ilvl w:val="0"/>
          <w:numId w:val="1013"/>
        </w:numPr>
      </w:pPr>
      <w:r>
        <w:t xml:space="preserve">Goal Self-Assessment:</w:t>
      </w:r>
    </w:p>
    <w:p>
      <w:pPr>
        <w:pStyle w:val="Compact"/>
        <w:numPr>
          <w:ilvl w:val="0"/>
          <w:numId w:val="1013"/>
        </w:numPr>
      </w:pPr>
      <w:r>
        <w:t xml:space="preserve">Self-Assessment Explanation/ Justification:</w:t>
      </w:r>
    </w:p>
    <w:p>
      <w:pPr>
        <w:pStyle w:val="Compact"/>
        <w:numPr>
          <w:ilvl w:val="0"/>
          <w:numId w:val="1013"/>
        </w:numPr>
      </w:pPr>
      <w:r>
        <w:t xml:space="preserve">Recommended Requirement Modification:</w:t>
      </w:r>
    </w:p>
    <w:p>
      <w:r>
        <w:pict>
          <v:rect style="width:0;height:1.5pt" o:hralign="center" o:hrstd="t" o:hr="t"/>
        </w:pict>
      </w:r>
    </w:p>
    <w:bookmarkEnd w:id="73"/>
    <w:bookmarkEnd w:id="74"/>
    <w:bookmarkStart w:id="78" w:name="sec:src-acqpar"/>
    <w:p>
      <w:pPr>
        <w:pStyle w:val="berschrift4"/>
      </w:pPr>
      <w:r>
        <w:rPr>
          <w:rStyle w:val="VerbatimChar"/>
        </w:rPr>
        <w:t xml:space="preserve">2.5.</w:t>
      </w:r>
      <w:r>
        <w:t xml:space="preserve"> </w:t>
      </w:r>
      <w:r>
        <w:t xml:space="preserve">Source Data Acquisition Parameters</w:t>
      </w:r>
    </w:p>
    <w:p>
      <w:pPr>
        <w:pStyle w:val="FirstParagraph"/>
      </w:pPr>
      <w:r>
        <w:t xml:space="preserve">Identifier:</w:t>
      </w:r>
      <w:r>
        <w:t xml:space="preserve"> </w:t>
      </w:r>
      <w:r>
        <w:rPr>
          <w:rStyle w:val="VerbatimChar"/>
        </w:rPr>
        <w:t xml:space="preserve">src-acqpar</w:t>
      </w:r>
    </w:p>
    <w:bookmarkStart w:id="75" w:name="threshold-requirements-9"/>
    <w:p>
      <w:pPr>
        <w:pStyle w:val="berschrift5"/>
      </w:pPr>
      <w:r>
        <w:t xml:space="preserve">Threshold requirements:</w:t>
      </w:r>
    </w:p>
    <w:p>
      <w:pPr>
        <w:pStyle w:val="FirstParagraph"/>
      </w:pPr>
      <w:r>
        <w:t xml:space="preserve">Acquisition parameters related to the SAR antenna:</w:t>
      </w:r>
    </w:p>
    <w:p>
      <w:pPr>
        <w:pStyle w:val="Compact"/>
        <w:numPr>
          <w:ilvl w:val="0"/>
          <w:numId w:val="1014"/>
        </w:numPr>
      </w:pPr>
      <w:r>
        <w:t xml:space="preserve">Radar band</w:t>
      </w:r>
    </w:p>
    <w:p>
      <w:pPr>
        <w:pStyle w:val="Compact"/>
        <w:numPr>
          <w:ilvl w:val="0"/>
          <w:numId w:val="1014"/>
        </w:numPr>
      </w:pPr>
      <w:r>
        <w:t xml:space="preserve">Centre frequency</w:t>
      </w:r>
    </w:p>
    <w:p>
      <w:pPr>
        <w:pStyle w:val="Compact"/>
        <w:numPr>
          <w:ilvl w:val="0"/>
          <w:numId w:val="1014"/>
        </w:numPr>
      </w:pPr>
      <w:r>
        <w:t xml:space="preserve">Observation mode (i.e., beam mode name)</w:t>
      </w:r>
    </w:p>
    <w:p>
      <w:pPr>
        <w:pStyle w:val="Compact"/>
        <w:numPr>
          <w:ilvl w:val="0"/>
          <w:numId w:val="1014"/>
        </w:numPr>
      </w:pPr>
      <w:r>
        <w:t xml:space="preserve">Polarization(s) (listed as in original product)</w:t>
      </w:r>
    </w:p>
    <w:p>
      <w:pPr>
        <w:pStyle w:val="Compact"/>
        <w:numPr>
          <w:ilvl w:val="0"/>
          <w:numId w:val="1014"/>
        </w:numPr>
      </w:pPr>
      <w:r>
        <w:t xml:space="preserve">Antenna pointing (right/left)</w:t>
      </w:r>
    </w:p>
    <w:p>
      <w:pPr>
        <w:pStyle w:val="Compact"/>
        <w:numPr>
          <w:ilvl w:val="0"/>
          <w:numId w:val="1014"/>
        </w:numPr>
      </w:pPr>
      <w:r>
        <w:t xml:space="preserve">Beam ID (i.e., beam mode mnemonic)</w:t>
      </w:r>
    </w:p>
    <w:bookmarkEnd w:id="75"/>
    <w:bookmarkStart w:id="76" w:name="goal-requirements-9"/>
    <w:p>
      <w:pPr>
        <w:pStyle w:val="berschrift5"/>
      </w:pPr>
      <w:r>
        <w:t xml:space="preserve">Goal requirements:</w:t>
      </w:r>
    </w:p>
    <w:p>
      <w:pPr>
        <w:pStyle w:val="FirstParagraph"/>
      </w:pPr>
      <w:r>
        <w:t xml:space="preserve">As threshold.</w:t>
      </w:r>
      <w:r>
        <w:t xml:space="preserve"> </w:t>
      </w:r>
    </w:p>
    <w:bookmarkEnd w:id="76"/>
    <w:bookmarkStart w:id="77" w:name="assessment-9"/>
    <w:p>
      <w:pPr>
        <w:pStyle w:val="berschrift5"/>
      </w:pPr>
      <w:r>
        <w:t xml:space="preserve">Assessment:</w:t>
      </w:r>
    </w:p>
    <w:p>
      <w:pPr>
        <w:pStyle w:val="Compact"/>
        <w:numPr>
          <w:ilvl w:val="0"/>
          <w:numId w:val="1015"/>
        </w:numPr>
      </w:pPr>
      <w:r>
        <w:t xml:space="preserve">Threshold Self-Assessment:</w:t>
      </w:r>
    </w:p>
    <w:p>
      <w:pPr>
        <w:pStyle w:val="Compact"/>
        <w:numPr>
          <w:ilvl w:val="0"/>
          <w:numId w:val="1015"/>
        </w:numPr>
      </w:pPr>
      <w:r>
        <w:t xml:space="preserve">Goal Self-Assessment:</w:t>
      </w:r>
    </w:p>
    <w:p>
      <w:pPr>
        <w:pStyle w:val="Compact"/>
        <w:numPr>
          <w:ilvl w:val="0"/>
          <w:numId w:val="1015"/>
        </w:numPr>
      </w:pPr>
      <w:r>
        <w:t xml:space="preserve">Self-Assessment Explanation/ Justification:</w:t>
      </w:r>
    </w:p>
    <w:p>
      <w:pPr>
        <w:pStyle w:val="Compact"/>
        <w:numPr>
          <w:ilvl w:val="0"/>
          <w:numId w:val="1015"/>
        </w:numPr>
      </w:pPr>
      <w:r>
        <w:t xml:space="preserve">Recommended Requirement Modification:</w:t>
      </w:r>
    </w:p>
    <w:p>
      <w:r>
        <w:pict>
          <v:rect style="width:0;height:1.5pt" o:hralign="center" o:hrstd="t" o:hr="t"/>
        </w:pict>
      </w:r>
    </w:p>
    <w:bookmarkEnd w:id="77"/>
    <w:bookmarkEnd w:id="78"/>
    <w:bookmarkStart w:id="83" w:name="sec:src-orbit"/>
    <w:p>
      <w:pPr>
        <w:pStyle w:val="berschrift4"/>
      </w:pPr>
      <w:r>
        <w:rPr>
          <w:rStyle w:val="VerbatimChar"/>
        </w:rPr>
        <w:t xml:space="preserve">2.6.</w:t>
      </w:r>
      <w:r>
        <w:t xml:space="preserve"> </w:t>
      </w:r>
      <w:r>
        <w:t xml:space="preserve">Source Data Orbit Information</w:t>
      </w:r>
    </w:p>
    <w:p>
      <w:pPr>
        <w:pStyle w:val="FirstParagraph"/>
      </w:pPr>
      <w:r>
        <w:t xml:space="preserve">Identifier:</w:t>
      </w:r>
      <w:r>
        <w:t xml:space="preserve"> </w:t>
      </w:r>
      <w:r>
        <w:rPr>
          <w:rStyle w:val="VerbatimChar"/>
        </w:rPr>
        <w:t xml:space="preserve">src-orbit</w:t>
      </w:r>
    </w:p>
    <w:bookmarkStart w:id="80" w:name="threshold-requirements-10"/>
    <w:p>
      <w:pPr>
        <w:pStyle w:val="berschrift5"/>
      </w:pPr>
      <w:r>
        <w:t xml:space="preserve">Threshold requirements:</w:t>
      </w:r>
    </w:p>
    <w:p>
      <w:pPr>
        <w:pStyle w:val="FirstParagraph"/>
      </w:pPr>
      <w:r>
        <w:t xml:space="preserve">Information related to the platform orbit used for data processing:</w:t>
      </w:r>
    </w:p>
    <w:p>
      <w:pPr>
        <w:pStyle w:val="Compact"/>
        <w:numPr>
          <w:ilvl w:val="0"/>
          <w:numId w:val="1016"/>
        </w:numPr>
      </w:pPr>
      <w:r>
        <w:t xml:space="preserve">Pass direction (asc/desc)</w:t>
      </w:r>
      <w:r>
        <w:rPr>
          <w:rStyle w:val="Funotenzeichen"/>
        </w:rPr>
        <w:footnoteReference w:id="79"/>
      </w:r>
    </w:p>
    <w:p>
      <w:pPr>
        <w:pStyle w:val="Compact"/>
        <w:numPr>
          <w:ilvl w:val="0"/>
          <w:numId w:val="1016"/>
        </w:numPr>
      </w:pPr>
      <w:r>
        <w:t xml:space="preserve">Orbit data source (e.g., predicted, definite, precise, downlinked, etc.)</w:t>
      </w:r>
    </w:p>
    <w:bookmarkEnd w:id="80"/>
    <w:bookmarkStart w:id="81" w:name="goal-requirements-10"/>
    <w:p>
      <w:pPr>
        <w:pStyle w:val="berschrift5"/>
      </w:pPr>
      <w:r>
        <w:t xml:space="preserve">Goal requirements:</w:t>
      </w:r>
    </w:p>
    <w:p>
      <w:pPr>
        <w:pStyle w:val="FirstParagraph"/>
      </w:pPr>
      <w:r>
        <w:t xml:space="preserve">As threshold, including also:</w:t>
      </w:r>
    </w:p>
    <w:p>
      <w:pPr>
        <w:pStyle w:val="Compact"/>
        <w:numPr>
          <w:ilvl w:val="0"/>
          <w:numId w:val="1017"/>
        </w:numPr>
      </w:pPr>
      <w:r>
        <w:t xml:space="preserve">Platform heading angle expressed in degrees (0-360) from North</w:t>
      </w:r>
    </w:p>
    <w:p>
      <w:pPr>
        <w:pStyle w:val="Compact"/>
        <w:numPr>
          <w:ilvl w:val="0"/>
          <w:numId w:val="1017"/>
        </w:numPr>
      </w:pPr>
      <w:r>
        <w:t xml:space="preserve">Orbit data file containing state vectors (minimum of 5 state vectors, from 10% of scene length before start time to 10% of scene length after stop time)</w:t>
      </w:r>
    </w:p>
    <w:p>
      <w:pPr>
        <w:pStyle w:val="Compact"/>
        <w:numPr>
          <w:ilvl w:val="0"/>
          <w:numId w:val="1017"/>
        </w:numPr>
      </w:pPr>
      <w:r>
        <w:t xml:space="preserve">Platform (mean) altitude</w:t>
      </w:r>
    </w:p>
    <w:bookmarkEnd w:id="81"/>
    <w:bookmarkStart w:id="82" w:name="assessment-10"/>
    <w:p>
      <w:pPr>
        <w:pStyle w:val="berschrift5"/>
      </w:pPr>
      <w:r>
        <w:t xml:space="preserve">Assessment:</w:t>
      </w:r>
    </w:p>
    <w:p>
      <w:pPr>
        <w:pStyle w:val="Compact"/>
        <w:numPr>
          <w:ilvl w:val="0"/>
          <w:numId w:val="1018"/>
        </w:numPr>
      </w:pPr>
      <w:r>
        <w:t xml:space="preserve">Threshold Self-Assessment:</w:t>
      </w:r>
    </w:p>
    <w:p>
      <w:pPr>
        <w:pStyle w:val="Compact"/>
        <w:numPr>
          <w:ilvl w:val="0"/>
          <w:numId w:val="1018"/>
        </w:numPr>
      </w:pPr>
      <w:r>
        <w:t xml:space="preserve">Goal Self-Assessment:</w:t>
      </w:r>
    </w:p>
    <w:p>
      <w:pPr>
        <w:pStyle w:val="Compact"/>
        <w:numPr>
          <w:ilvl w:val="0"/>
          <w:numId w:val="1018"/>
        </w:numPr>
      </w:pPr>
      <w:r>
        <w:t xml:space="preserve">Self-Assessment Explanation/ Justification:</w:t>
      </w:r>
    </w:p>
    <w:p>
      <w:pPr>
        <w:pStyle w:val="Compact"/>
        <w:numPr>
          <w:ilvl w:val="0"/>
          <w:numId w:val="1018"/>
        </w:numPr>
      </w:pPr>
      <w:r>
        <w:t xml:space="preserve">Recommended Requirement Modification:</w:t>
      </w:r>
    </w:p>
    <w:p>
      <w:r>
        <w:pict>
          <v:rect style="width:0;height:1.5pt" o:hralign="center" o:hrstd="t" o:hr="t"/>
        </w:pict>
      </w:r>
    </w:p>
    <w:bookmarkEnd w:id="82"/>
    <w:bookmarkEnd w:id="83"/>
    <w:bookmarkStart w:id="87" w:name="sec:src-propar"/>
    <w:p>
      <w:pPr>
        <w:pStyle w:val="berschrift4"/>
      </w:pPr>
      <w:r>
        <w:rPr>
          <w:rStyle w:val="VerbatimChar"/>
        </w:rPr>
        <w:t xml:space="preserve">2.7.</w:t>
      </w:r>
      <w:r>
        <w:t xml:space="preserve"> </w:t>
      </w:r>
      <w:r>
        <w:t xml:space="preserve">Source Data Processing Parameters</w:t>
      </w:r>
    </w:p>
    <w:p>
      <w:pPr>
        <w:pStyle w:val="FirstParagraph"/>
      </w:pPr>
      <w:r>
        <w:t xml:space="preserve">Identifier:</w:t>
      </w:r>
      <w:r>
        <w:t xml:space="preserve"> </w:t>
      </w:r>
      <w:r>
        <w:rPr>
          <w:rStyle w:val="VerbatimChar"/>
        </w:rPr>
        <w:t xml:space="preserve">src-propar</w:t>
      </w:r>
    </w:p>
    <w:bookmarkStart w:id="84" w:name="threshold-requirements-11"/>
    <w:p>
      <w:pPr>
        <w:pStyle w:val="berschrift5"/>
      </w:pPr>
      <w:r>
        <w:t xml:space="preserve">Threshold requirements:</w:t>
      </w:r>
    </w:p>
    <w:p>
      <w:pPr>
        <w:pStyle w:val="FirstParagraph"/>
      </w:pPr>
      <w:r>
        <w:t xml:space="preserve">Processing parameters details of the source data:</w:t>
      </w:r>
    </w:p>
    <w:p>
      <w:pPr>
        <w:pStyle w:val="Compact"/>
        <w:numPr>
          <w:ilvl w:val="0"/>
          <w:numId w:val="1019"/>
        </w:numPr>
      </w:pPr>
      <w:r>
        <w:t xml:space="preserve">Processing facility</w:t>
      </w:r>
    </w:p>
    <w:p>
      <w:pPr>
        <w:pStyle w:val="Compact"/>
        <w:numPr>
          <w:ilvl w:val="0"/>
          <w:numId w:val="1019"/>
        </w:numPr>
      </w:pPr>
      <w:r>
        <w:t xml:space="preserve">Processing date</w:t>
      </w:r>
    </w:p>
    <w:p>
      <w:pPr>
        <w:pStyle w:val="Compact"/>
        <w:numPr>
          <w:ilvl w:val="0"/>
          <w:numId w:val="1019"/>
        </w:numPr>
      </w:pPr>
      <w:r>
        <w:t xml:space="preserve">Software version</w:t>
      </w:r>
    </w:p>
    <w:p>
      <w:pPr>
        <w:pStyle w:val="Compact"/>
        <w:numPr>
          <w:ilvl w:val="0"/>
          <w:numId w:val="1019"/>
        </w:numPr>
      </w:pPr>
      <w:r>
        <w:t xml:space="preserve">Product level</w:t>
      </w:r>
    </w:p>
    <w:p>
      <w:pPr>
        <w:pStyle w:val="Compact"/>
        <w:numPr>
          <w:ilvl w:val="0"/>
          <w:numId w:val="1019"/>
        </w:numPr>
      </w:pPr>
      <w:r>
        <w:t xml:space="preserve">Product ID (file name)</w:t>
      </w:r>
    </w:p>
    <w:p>
      <w:pPr>
        <w:pStyle w:val="Compact"/>
        <w:numPr>
          <w:ilvl w:val="0"/>
          <w:numId w:val="1019"/>
        </w:numPr>
      </w:pPr>
      <w:r>
        <w:t xml:space="preserve">Azimuth number of looks</w:t>
      </w:r>
    </w:p>
    <w:p>
      <w:pPr>
        <w:pStyle w:val="Compact"/>
        <w:numPr>
          <w:ilvl w:val="0"/>
          <w:numId w:val="1019"/>
        </w:numPr>
      </w:pPr>
      <w:r>
        <w:t xml:space="preserve">Range number of looks (separate values for each beam, as necessary)</w:t>
      </w:r>
    </w:p>
    <w:bookmarkEnd w:id="84"/>
    <w:bookmarkStart w:id="85" w:name="goal-requirements-11"/>
    <w:p>
      <w:pPr>
        <w:pStyle w:val="berschrift5"/>
      </w:pPr>
      <w:r>
        <w:t xml:space="preserve">Goal requirements:</w:t>
      </w:r>
    </w:p>
    <w:p>
      <w:pPr>
        <w:pStyle w:val="FirstParagraph"/>
      </w:pPr>
      <w:r>
        <w:t xml:space="preserve">As threshold, plus additional relevant processing parameters, e.g., range- and azimuth look bandwidth and LUT applied.</w:t>
      </w:r>
    </w:p>
    <w:bookmarkEnd w:id="85"/>
    <w:bookmarkStart w:id="86" w:name="assessment-11"/>
    <w:p>
      <w:pPr>
        <w:pStyle w:val="berschrift5"/>
      </w:pPr>
      <w:r>
        <w:t xml:space="preserve">Assessment:</w:t>
      </w:r>
    </w:p>
    <w:p>
      <w:pPr>
        <w:pStyle w:val="Compact"/>
        <w:numPr>
          <w:ilvl w:val="0"/>
          <w:numId w:val="1020"/>
        </w:numPr>
      </w:pPr>
      <w:r>
        <w:t xml:space="preserve">Threshold Self-Assessment:</w:t>
      </w:r>
    </w:p>
    <w:p>
      <w:pPr>
        <w:pStyle w:val="Compact"/>
        <w:numPr>
          <w:ilvl w:val="0"/>
          <w:numId w:val="1020"/>
        </w:numPr>
      </w:pPr>
      <w:r>
        <w:t xml:space="preserve">Goal Self-Assessment:</w:t>
      </w:r>
    </w:p>
    <w:p>
      <w:pPr>
        <w:pStyle w:val="Compact"/>
        <w:numPr>
          <w:ilvl w:val="0"/>
          <w:numId w:val="1020"/>
        </w:numPr>
      </w:pPr>
      <w:r>
        <w:t xml:space="preserve">Self-Assessment Explanation/ Justification:</w:t>
      </w:r>
    </w:p>
    <w:p>
      <w:pPr>
        <w:pStyle w:val="Compact"/>
        <w:numPr>
          <w:ilvl w:val="0"/>
          <w:numId w:val="1020"/>
        </w:numPr>
      </w:pPr>
      <w:r>
        <w:t xml:space="preserve">Recommended Requirement Modification:</w:t>
      </w:r>
    </w:p>
    <w:p>
      <w:r>
        <w:pict>
          <v:rect style="width:0;height:1.5pt" o:hralign="center" o:hrstd="t" o:hr="t"/>
        </w:pict>
      </w:r>
    </w:p>
    <w:bookmarkEnd w:id="86"/>
    <w:bookmarkEnd w:id="87"/>
    <w:bookmarkStart w:id="91" w:name="sec:src-imgatt-sar"/>
    <w:p>
      <w:pPr>
        <w:pStyle w:val="berschrift4"/>
      </w:pPr>
      <w:r>
        <w:rPr>
          <w:rStyle w:val="VerbatimChar"/>
        </w:rPr>
        <w:t xml:space="preserve">2.8.</w:t>
      </w:r>
      <w:r>
        <w:t xml:space="preserve"> </w:t>
      </w:r>
      <w:r>
        <w:t xml:space="preserve">Source Data Image Attributes</w:t>
      </w:r>
    </w:p>
    <w:p>
      <w:pPr>
        <w:pStyle w:val="FirstParagraph"/>
      </w:pPr>
      <w:r>
        <w:t xml:space="preserve">Identifier:</w:t>
      </w:r>
      <w:r>
        <w:t xml:space="preserve"> </w:t>
      </w:r>
      <w:r>
        <w:rPr>
          <w:rStyle w:val="VerbatimChar"/>
        </w:rPr>
        <w:t xml:space="preserve">src-imgatt-sar</w:t>
      </w:r>
    </w:p>
    <w:bookmarkStart w:id="88" w:name="threshold-requirements-12"/>
    <w:p>
      <w:pPr>
        <w:pStyle w:val="berschrift5"/>
      </w:pPr>
      <w:r>
        <w:t xml:space="preserve">Threshold requirements:</w:t>
      </w:r>
    </w:p>
    <w:p>
      <w:pPr>
        <w:pStyle w:val="FirstParagraph"/>
      </w:pPr>
      <w:r>
        <w:t xml:space="preserve">Image attributes related to the source data:</w:t>
      </w:r>
    </w:p>
    <w:p>
      <w:pPr>
        <w:pStyle w:val="Compact"/>
        <w:numPr>
          <w:ilvl w:val="0"/>
          <w:numId w:val="1021"/>
        </w:numPr>
      </w:pPr>
      <w:r>
        <w:t xml:space="preserve">Source Data geometry (slant range/ground range)</w:t>
      </w:r>
    </w:p>
    <w:p>
      <w:pPr>
        <w:pStyle w:val="Compact"/>
        <w:numPr>
          <w:ilvl w:val="0"/>
          <w:numId w:val="1021"/>
        </w:numPr>
      </w:pPr>
      <w:r>
        <w:t xml:space="preserve">Azimuth pixel spacing [m] (alternatively, Azimuth pixel spacing can be provided in second [s], equivalent to the azimuth time sample interval)</w:t>
      </w:r>
    </w:p>
    <w:p>
      <w:pPr>
        <w:pStyle w:val="Compact"/>
        <w:numPr>
          <w:ilvl w:val="0"/>
          <w:numId w:val="1021"/>
        </w:numPr>
      </w:pPr>
      <w:r>
        <w:t xml:space="preserve">Range pixel spacing</w:t>
      </w:r>
    </w:p>
    <w:p>
      <w:pPr>
        <w:pStyle w:val="Compact"/>
        <w:numPr>
          <w:ilvl w:val="0"/>
          <w:numId w:val="1021"/>
        </w:numPr>
      </w:pPr>
      <w:r>
        <w:t xml:space="preserve">Azimuth resolution</w:t>
      </w:r>
    </w:p>
    <w:p>
      <w:pPr>
        <w:pStyle w:val="Compact"/>
        <w:numPr>
          <w:ilvl w:val="0"/>
          <w:numId w:val="1021"/>
        </w:numPr>
      </w:pPr>
      <w:r>
        <w:t xml:space="preserve">Range resolution</w:t>
      </w:r>
    </w:p>
    <w:p>
      <w:pPr>
        <w:pStyle w:val="Compact"/>
        <w:numPr>
          <w:ilvl w:val="0"/>
          <w:numId w:val="1021"/>
        </w:numPr>
      </w:pPr>
      <w:r>
        <w:t xml:space="preserve">Near range incident angle</w:t>
      </w:r>
    </w:p>
    <w:p>
      <w:pPr>
        <w:pStyle w:val="Compact"/>
        <w:numPr>
          <w:ilvl w:val="0"/>
          <w:numId w:val="1021"/>
        </w:numPr>
      </w:pPr>
      <w:r>
        <w:t xml:space="preserve">Far range incident angle</w:t>
      </w:r>
    </w:p>
    <w:bookmarkEnd w:id="88"/>
    <w:bookmarkStart w:id="89" w:name="goal-requirements-12"/>
    <w:p>
      <w:pPr>
        <w:pStyle w:val="berschrift5"/>
      </w:pPr>
      <w:r>
        <w:t xml:space="preserve">Goal requirements:</w:t>
      </w:r>
    </w:p>
    <w:p>
      <w:pPr>
        <w:pStyle w:val="FirstParagraph"/>
      </w:pPr>
      <w:r>
        <w:t xml:space="preserve">Geometry of the image footprint expressed in WGS84 in a standardised format (e.g., WKT).</w:t>
      </w:r>
    </w:p>
    <w:bookmarkEnd w:id="89"/>
    <w:bookmarkStart w:id="90" w:name="assessment-12"/>
    <w:p>
      <w:pPr>
        <w:pStyle w:val="berschrift5"/>
      </w:pPr>
      <w:r>
        <w:t xml:space="preserve">Assessment:</w:t>
      </w:r>
    </w:p>
    <w:p>
      <w:pPr>
        <w:pStyle w:val="Compact"/>
        <w:numPr>
          <w:ilvl w:val="0"/>
          <w:numId w:val="1022"/>
        </w:numPr>
      </w:pPr>
      <w:r>
        <w:t xml:space="preserve">Threshold Self-Assessment:</w:t>
      </w:r>
    </w:p>
    <w:p>
      <w:pPr>
        <w:pStyle w:val="Compact"/>
        <w:numPr>
          <w:ilvl w:val="0"/>
          <w:numId w:val="1022"/>
        </w:numPr>
      </w:pPr>
      <w:r>
        <w:t xml:space="preserve">Goal Self-Assessment:</w:t>
      </w:r>
    </w:p>
    <w:p>
      <w:pPr>
        <w:pStyle w:val="Compact"/>
        <w:numPr>
          <w:ilvl w:val="0"/>
          <w:numId w:val="1022"/>
        </w:numPr>
      </w:pPr>
      <w:r>
        <w:t xml:space="preserve">Self-Assessment Explanation/ Justification:</w:t>
      </w:r>
    </w:p>
    <w:p>
      <w:pPr>
        <w:pStyle w:val="Compact"/>
        <w:numPr>
          <w:ilvl w:val="0"/>
          <w:numId w:val="1022"/>
        </w:numPr>
      </w:pPr>
      <w:r>
        <w:t xml:space="preserve">Recommended Requirement Modification:</w:t>
      </w:r>
    </w:p>
    <w:p>
      <w:r>
        <w:pict>
          <v:rect style="width:0;height:1.5pt" o:hralign="center" o:hrstd="t" o:hr="t"/>
        </w:pict>
      </w:r>
    </w:p>
    <w:bookmarkEnd w:id="90"/>
    <w:bookmarkEnd w:id="91"/>
    <w:bookmarkStart w:id="95" w:name="sec:src-sencal-sar"/>
    <w:p>
      <w:pPr>
        <w:pStyle w:val="berschrift4"/>
      </w:pPr>
      <w:r>
        <w:rPr>
          <w:rStyle w:val="VerbatimChar"/>
        </w:rPr>
        <w:t xml:space="preserve">2.9.</w:t>
      </w:r>
      <w:r>
        <w:t xml:space="preserve"> </w:t>
      </w:r>
      <w:r>
        <w:t xml:space="preserve">Sensor Calibration</w:t>
      </w:r>
    </w:p>
    <w:p>
      <w:pPr>
        <w:pStyle w:val="FirstParagraph"/>
      </w:pPr>
      <w:r>
        <w:t xml:space="preserve">Identifier:</w:t>
      </w:r>
      <w:r>
        <w:t xml:space="preserve"> </w:t>
      </w:r>
      <w:r>
        <w:rPr>
          <w:rStyle w:val="VerbatimChar"/>
        </w:rPr>
        <w:t xml:space="preserve">src-sencal-sar</w:t>
      </w:r>
    </w:p>
    <w:bookmarkStart w:id="92" w:name="threshold-requirements-13"/>
    <w:p>
      <w:pPr>
        <w:pStyle w:val="berschrift5"/>
      </w:pPr>
      <w:r>
        <w:t xml:space="preserve">Threshold requirements:</w:t>
      </w:r>
    </w:p>
    <w:p>
      <w:pPr>
        <w:pStyle w:val="FirstParagraph"/>
      </w:pPr>
      <w:r>
        <w:t xml:space="preserve">Not required.</w:t>
      </w:r>
      <w:r>
        <w:t xml:space="preserve"> </w:t>
      </w:r>
    </w:p>
    <w:bookmarkEnd w:id="92"/>
    <w:bookmarkStart w:id="93" w:name="goal-requirements-13"/>
    <w:p>
      <w:pPr>
        <w:pStyle w:val="berschrift5"/>
      </w:pPr>
      <w:r>
        <w:t xml:space="preserve">Goal requirements:</w:t>
      </w:r>
    </w:p>
    <w:p>
      <w:pPr>
        <w:pStyle w:val="FirstParagraph"/>
      </w:pPr>
      <w:r>
        <w:t xml:space="preserve">Sensor calibration parameters are identified in the metadata or can be accessed using details included in the metadata.</w:t>
      </w:r>
      <w:r>
        <w:t xml:space="preserve"> </w:t>
      </w:r>
      <w:r>
        <w:t xml:space="preserve">Ideally this would support machine-to-machine access.</w:t>
      </w:r>
    </w:p>
    <w:bookmarkEnd w:id="93"/>
    <w:bookmarkStart w:id="94" w:name="assessment-13"/>
    <w:p>
      <w:pPr>
        <w:pStyle w:val="berschrift5"/>
      </w:pPr>
      <w:r>
        <w:t xml:space="preserve">Assessment:</w:t>
      </w:r>
    </w:p>
    <w:p>
      <w:pPr>
        <w:pStyle w:val="Compact"/>
        <w:numPr>
          <w:ilvl w:val="0"/>
          <w:numId w:val="1023"/>
        </w:numPr>
      </w:pPr>
      <w:r>
        <w:t xml:space="preserve">Threshold Self-Assessment:</w:t>
      </w:r>
    </w:p>
    <w:p>
      <w:pPr>
        <w:pStyle w:val="Compact"/>
        <w:numPr>
          <w:ilvl w:val="0"/>
          <w:numId w:val="1023"/>
        </w:numPr>
      </w:pPr>
      <w:r>
        <w:t xml:space="preserve">Goal Self-Assessment:</w:t>
      </w:r>
    </w:p>
    <w:p>
      <w:pPr>
        <w:pStyle w:val="Compact"/>
        <w:numPr>
          <w:ilvl w:val="0"/>
          <w:numId w:val="1023"/>
        </w:numPr>
      </w:pPr>
      <w:r>
        <w:t xml:space="preserve">Self-Assessment Explanation/ Justification:</w:t>
      </w:r>
    </w:p>
    <w:p>
      <w:pPr>
        <w:pStyle w:val="Compact"/>
        <w:numPr>
          <w:ilvl w:val="0"/>
          <w:numId w:val="1023"/>
        </w:numPr>
      </w:pPr>
      <w:r>
        <w:t xml:space="preserve">Recommended Requirement Modification:</w:t>
      </w:r>
    </w:p>
    <w:p>
      <w:r>
        <w:pict>
          <v:rect style="width:0;height:1.5pt" o:hralign="center" o:hrstd="t" o:hr="t"/>
        </w:pict>
      </w:r>
    </w:p>
    <w:bookmarkEnd w:id="94"/>
    <w:bookmarkEnd w:id="95"/>
    <w:bookmarkStart w:id="99" w:name="sec:src-perfind"/>
    <w:p>
      <w:pPr>
        <w:pStyle w:val="berschrift4"/>
      </w:pPr>
      <w:r>
        <w:rPr>
          <w:rStyle w:val="VerbatimChar"/>
        </w:rPr>
        <w:t xml:space="preserve">2.10.</w:t>
      </w:r>
      <w:r>
        <w:t xml:space="preserve"> </w:t>
      </w:r>
      <w:r>
        <w:t xml:space="preserve">Performance Indicators</w:t>
      </w:r>
    </w:p>
    <w:p>
      <w:pPr>
        <w:pStyle w:val="FirstParagraph"/>
      </w:pPr>
      <w:r>
        <w:t xml:space="preserve">Identifier:</w:t>
      </w:r>
      <w:r>
        <w:t xml:space="preserve"> </w:t>
      </w:r>
      <w:r>
        <w:rPr>
          <w:rStyle w:val="VerbatimChar"/>
        </w:rPr>
        <w:t xml:space="preserve">src-perfind</w:t>
      </w:r>
    </w:p>
    <w:bookmarkStart w:id="96" w:name="threshold-requirements-14"/>
    <w:p>
      <w:pPr>
        <w:pStyle w:val="berschrift5"/>
      </w:pPr>
      <w:r>
        <w:t xml:space="preserve">Threshold requirements:</w:t>
      </w:r>
    </w:p>
    <w:p>
      <w:pPr>
        <w:pStyle w:val="FirstParagraph"/>
      </w:pPr>
      <w:r>
        <w:t xml:space="preserve">Provide performance indicators on data intensity noise level (</w:t>
      </w:r>
      <m:oMath>
        <m:r>
          <m:rPr>
            <m:nor/>
            <m:sty m:val="p"/>
          </m:rPr>
          <m:t>NE</m:t>
        </m:r>
        <m:sSup>
          <m:e>
            <m:r>
              <m:t>σ</m:t>
            </m:r>
          </m:e>
          <m:sup>
            <m:r>
              <m:t>0</m:t>
            </m:r>
          </m:sup>
        </m:sSup>
      </m:oMath>
      <w:r>
        <w:t xml:space="preserve"> </w:t>
      </w:r>
      <w:r>
        <w:t xml:space="preserve">and/or</w:t>
      </w:r>
      <w:r>
        <w:t xml:space="preserve"> </w:t>
      </w:r>
      <m:oMath>
        <m:r>
          <m:rPr>
            <m:nor/>
            <m:sty m:val="p"/>
          </m:rPr>
          <m:t>NE</m:t>
        </m:r>
        <m:sSup>
          <m:e>
            <m:r>
              <m:t>β</m:t>
            </m:r>
          </m:e>
          <m:sup>
            <m:r>
              <m:t>0</m:t>
            </m:r>
          </m:sup>
        </m:sSup>
      </m:oMath>
      <w:r>
        <w:t xml:space="preserve"> </w:t>
      </w:r>
      <w:r>
        <w:t xml:space="preserve">and/or</w:t>
      </w:r>
      <w:r>
        <w:t xml:space="preserve"> </w:t>
      </w:r>
      <m:oMath>
        <m:r>
          <m:rPr>
            <m:nor/>
            <m:sty m:val="p"/>
          </m:rPr>
          <m:t>NE</m:t>
        </m:r>
        <m:sSup>
          <m:e>
            <m:r>
              <m:t>γ</m:t>
            </m:r>
          </m:e>
          <m:sup>
            <m:r>
              <m:t>0</m:t>
            </m:r>
          </m:sup>
        </m:sSup>
      </m:oMath>
      <w:r>
        <w:t xml:space="preserve">, i.e., noise equivalent Sigma- and/or Beta- and/or Gamma-Nought).</w:t>
      </w:r>
      <w:r>
        <w:t xml:space="preserve"> </w:t>
      </w:r>
      <w:r>
        <w:t xml:space="preserve">Provided for each polarization channel when available.</w:t>
      </w:r>
    </w:p>
    <w:p>
      <w:pPr>
        <w:pStyle w:val="Textkrper"/>
      </w:pPr>
      <w:r>
        <w:t xml:space="preserve">Parameter may be expressed as the mean and/or minimum and maximum noise equivalent values of the source data.</w:t>
      </w:r>
    </w:p>
    <w:p>
      <w:pPr>
        <w:pStyle w:val="Textkrper"/>
      </w:pPr>
      <w:r>
        <w:t xml:space="preserve">Values do not need to be estimated individually for each product, but may be estimated once for each acquisition mode, and annotated on all products.</w:t>
      </w:r>
    </w:p>
    <w:bookmarkEnd w:id="96"/>
    <w:bookmarkStart w:id="97" w:name="goal-requirements-14"/>
    <w:p>
      <w:pPr>
        <w:pStyle w:val="berschrift5"/>
      </w:pPr>
      <w:r>
        <w:t xml:space="preserve">Goal requirements:</w:t>
      </w:r>
    </w:p>
    <w:p>
      <w:pPr>
        <w:pStyle w:val="FirstParagraph"/>
      </w:pPr>
      <w:r>
        <w:t xml:space="preserve">Provide additional relevant performance indicators (e.g., ENL, PSLR, ISLR, and performance reference DOI or URL).</w:t>
      </w:r>
    </w:p>
    <w:bookmarkEnd w:id="97"/>
    <w:bookmarkStart w:id="98" w:name="assessment-14"/>
    <w:p>
      <w:pPr>
        <w:pStyle w:val="berschrift5"/>
      </w:pPr>
      <w:r>
        <w:t xml:space="preserve">Assessment:</w:t>
      </w:r>
    </w:p>
    <w:p>
      <w:pPr>
        <w:pStyle w:val="Compact"/>
        <w:numPr>
          <w:ilvl w:val="0"/>
          <w:numId w:val="1024"/>
        </w:numPr>
      </w:pPr>
      <w:r>
        <w:t xml:space="preserve">Threshold Self-Assessment:</w:t>
      </w:r>
    </w:p>
    <w:p>
      <w:pPr>
        <w:pStyle w:val="Compact"/>
        <w:numPr>
          <w:ilvl w:val="0"/>
          <w:numId w:val="1024"/>
        </w:numPr>
      </w:pPr>
      <w:r>
        <w:t xml:space="preserve">Goal Self-Assessment:</w:t>
      </w:r>
    </w:p>
    <w:p>
      <w:pPr>
        <w:pStyle w:val="Compact"/>
        <w:numPr>
          <w:ilvl w:val="0"/>
          <w:numId w:val="1024"/>
        </w:numPr>
      </w:pPr>
      <w:r>
        <w:t xml:space="preserve">Self-Assessment Explanation/ Justification:</w:t>
      </w:r>
    </w:p>
    <w:p>
      <w:pPr>
        <w:pStyle w:val="Compact"/>
        <w:numPr>
          <w:ilvl w:val="0"/>
          <w:numId w:val="1024"/>
        </w:numPr>
      </w:pPr>
      <w:r>
        <w:t xml:space="preserve">Recommended Requirement Modification:</w:t>
      </w:r>
    </w:p>
    <w:p>
      <w:r>
        <w:pict>
          <v:rect style="width:0;height:1.5pt" o:hralign="center" o:hrstd="t" o:hr="t"/>
        </w:pict>
      </w:r>
    </w:p>
    <w:bookmarkEnd w:id="98"/>
    <w:bookmarkEnd w:id="99"/>
    <w:bookmarkStart w:id="103" w:name="sec:src-polcalm"/>
    <w:p>
      <w:pPr>
        <w:pStyle w:val="berschrift4"/>
      </w:pPr>
      <w:r>
        <w:rPr>
          <w:rStyle w:val="VerbatimChar"/>
        </w:rPr>
        <w:t xml:space="preserve">2.11.</w:t>
      </w:r>
      <w:r>
        <w:t xml:space="preserve"> </w:t>
      </w:r>
      <w:r>
        <w:t xml:space="preserve">Polarimetric Calibration Matrices</w:t>
      </w:r>
    </w:p>
    <w:p>
      <w:pPr>
        <w:pStyle w:val="FirstParagraph"/>
      </w:pPr>
      <w:r>
        <w:t xml:space="preserve">Identifier:</w:t>
      </w:r>
      <w:r>
        <w:t xml:space="preserve"> </w:t>
      </w:r>
      <w:r>
        <w:rPr>
          <w:rStyle w:val="VerbatimChar"/>
        </w:rPr>
        <w:t xml:space="preserve">src-polcalm</w:t>
      </w:r>
    </w:p>
    <w:bookmarkStart w:id="100" w:name="threshold-requirements-15"/>
    <w:p>
      <w:pPr>
        <w:pStyle w:val="berschrift5"/>
      </w:pPr>
      <w:r>
        <w:t xml:space="preserve">Threshold requirements:</w:t>
      </w:r>
    </w:p>
    <w:p>
      <w:pPr>
        <w:pStyle w:val="FirstParagraph"/>
      </w:pPr>
      <w:r>
        <w:t xml:space="preserve">Not required.</w:t>
      </w:r>
      <w:r>
        <w:t xml:space="preserve"> </w:t>
      </w:r>
    </w:p>
    <w:bookmarkEnd w:id="100"/>
    <w:bookmarkStart w:id="101" w:name="goal-requirements-15"/>
    <w:p>
      <w:pPr>
        <w:pStyle w:val="berschrift5"/>
      </w:pPr>
      <w:r>
        <w:t xml:space="preserve">Goal requirements:</w:t>
      </w:r>
    </w:p>
    <w:p>
      <w:pPr>
        <w:pStyle w:val="FirstParagraph"/>
      </w:pPr>
      <w:r>
        <w:t xml:space="preserve">The complex-valued polarimetric distortion matrices with the channel imbalance and the cross-talk applied for the polarimetric calibration.</w:t>
      </w:r>
    </w:p>
    <w:bookmarkEnd w:id="101"/>
    <w:bookmarkStart w:id="102" w:name="assessment-15"/>
    <w:p>
      <w:pPr>
        <w:pStyle w:val="berschrift5"/>
      </w:pPr>
      <w:r>
        <w:t xml:space="preserve">Assessment:</w:t>
      </w:r>
    </w:p>
    <w:p>
      <w:pPr>
        <w:pStyle w:val="Compact"/>
        <w:numPr>
          <w:ilvl w:val="0"/>
          <w:numId w:val="1025"/>
        </w:numPr>
      </w:pPr>
      <w:r>
        <w:t xml:space="preserve">Threshold Self-Assessment:</w:t>
      </w:r>
    </w:p>
    <w:p>
      <w:pPr>
        <w:pStyle w:val="Compact"/>
        <w:numPr>
          <w:ilvl w:val="0"/>
          <w:numId w:val="1025"/>
        </w:numPr>
      </w:pPr>
      <w:r>
        <w:t xml:space="preserve">Goal Self-Assessment:</w:t>
      </w:r>
    </w:p>
    <w:p>
      <w:pPr>
        <w:pStyle w:val="Compact"/>
        <w:numPr>
          <w:ilvl w:val="0"/>
          <w:numId w:val="1025"/>
        </w:numPr>
      </w:pPr>
      <w:r>
        <w:t xml:space="preserve">Self-Assessment Explanation/ Justification:</w:t>
      </w:r>
    </w:p>
    <w:p>
      <w:pPr>
        <w:pStyle w:val="Compact"/>
        <w:numPr>
          <w:ilvl w:val="0"/>
          <w:numId w:val="1025"/>
        </w:numPr>
      </w:pPr>
      <w:r>
        <w:t xml:space="preserve">Recommended Requirement Modification:</w:t>
      </w:r>
    </w:p>
    <w:p>
      <w:r>
        <w:pict>
          <v:rect style="width:0;height:1.5pt" o:hralign="center" o:hrstd="t" o:hr="t"/>
        </w:pict>
      </w:r>
    </w:p>
    <w:bookmarkEnd w:id="102"/>
    <w:bookmarkEnd w:id="103"/>
    <w:bookmarkStart w:id="107" w:name="sec:src-farotan"/>
    <w:p>
      <w:pPr>
        <w:pStyle w:val="berschrift4"/>
      </w:pPr>
      <w:r>
        <w:rPr>
          <w:rStyle w:val="VerbatimChar"/>
        </w:rPr>
        <w:t xml:space="preserve">2.12.</w:t>
      </w:r>
      <w:r>
        <w:t xml:space="preserve"> </w:t>
      </w:r>
      <w:r>
        <w:t xml:space="preserve">Mean Faraday Rotation Angle</w:t>
      </w:r>
    </w:p>
    <w:p>
      <w:pPr>
        <w:pStyle w:val="FirstParagraph"/>
      </w:pPr>
      <w:r>
        <w:t xml:space="preserve">Identifier:</w:t>
      </w:r>
      <w:r>
        <w:t xml:space="preserve"> </w:t>
      </w:r>
      <w:r>
        <w:rPr>
          <w:rStyle w:val="VerbatimChar"/>
        </w:rPr>
        <w:t xml:space="preserve">src-farotan</w:t>
      </w:r>
    </w:p>
    <w:bookmarkStart w:id="104" w:name="threshold-requirements-16"/>
    <w:p>
      <w:pPr>
        <w:pStyle w:val="berschrift5"/>
      </w:pPr>
      <w:r>
        <w:t xml:space="preserve">Threshold requirements:</w:t>
      </w:r>
    </w:p>
    <w:p>
      <w:pPr>
        <w:pStyle w:val="FirstParagraph"/>
      </w:pPr>
      <w:r>
        <w:t xml:space="preserve">Not required.</w:t>
      </w:r>
      <w:r>
        <w:t xml:space="preserve"> </w:t>
      </w:r>
    </w:p>
    <w:bookmarkEnd w:id="104"/>
    <w:bookmarkStart w:id="105" w:name="goal-requirements-16"/>
    <w:p>
      <w:pPr>
        <w:pStyle w:val="berschrift5"/>
      </w:pPr>
      <w:r>
        <w:t xml:space="preserve">Goal requirements:</w:t>
      </w:r>
    </w:p>
    <w:p>
      <w:pPr>
        <w:pStyle w:val="FirstParagraph"/>
      </w:pPr>
      <w:r>
        <w:t xml:space="preserve">The mean Faraday rotation angle estimated from the polarimetric data and/or from models with reference to the method or paper used to derive the estimate.</w:t>
      </w:r>
    </w:p>
    <w:bookmarkEnd w:id="105"/>
    <w:bookmarkStart w:id="106" w:name="assessment-16"/>
    <w:p>
      <w:pPr>
        <w:pStyle w:val="berschrift5"/>
      </w:pPr>
      <w:r>
        <w:t xml:space="preserve">Assessment:</w:t>
      </w:r>
    </w:p>
    <w:p>
      <w:pPr>
        <w:pStyle w:val="Compact"/>
        <w:numPr>
          <w:ilvl w:val="0"/>
          <w:numId w:val="1026"/>
        </w:numPr>
      </w:pPr>
      <w:r>
        <w:t xml:space="preserve">Threshold Self-Assessment:</w:t>
      </w:r>
    </w:p>
    <w:p>
      <w:pPr>
        <w:pStyle w:val="Compact"/>
        <w:numPr>
          <w:ilvl w:val="0"/>
          <w:numId w:val="1026"/>
        </w:numPr>
      </w:pPr>
      <w:r>
        <w:t xml:space="preserve">Goal Self-Assessment:</w:t>
      </w:r>
    </w:p>
    <w:p>
      <w:pPr>
        <w:pStyle w:val="Compact"/>
        <w:numPr>
          <w:ilvl w:val="0"/>
          <w:numId w:val="1026"/>
        </w:numPr>
      </w:pPr>
      <w:r>
        <w:t xml:space="preserve">Self-Assessment Explanation/ Justification:</w:t>
      </w:r>
    </w:p>
    <w:p>
      <w:pPr>
        <w:pStyle w:val="Compact"/>
        <w:numPr>
          <w:ilvl w:val="0"/>
          <w:numId w:val="1026"/>
        </w:numPr>
      </w:pPr>
      <w:r>
        <w:t xml:space="preserve">Recommended Requirement Modification:</w:t>
      </w:r>
    </w:p>
    <w:p>
      <w:r>
        <w:pict>
          <v:rect style="width:0;height:1.5pt" o:hralign="center" o:hrstd="t" o:hr="t"/>
        </w:pict>
      </w:r>
    </w:p>
    <w:bookmarkEnd w:id="106"/>
    <w:bookmarkEnd w:id="107"/>
    <w:bookmarkStart w:id="111" w:name="sec:src-ionind"/>
    <w:p>
      <w:pPr>
        <w:pStyle w:val="berschrift4"/>
      </w:pPr>
      <w:r>
        <w:rPr>
          <w:rStyle w:val="VerbatimChar"/>
        </w:rPr>
        <w:t xml:space="preserve">2.13.</w:t>
      </w:r>
      <w:r>
        <w:t xml:space="preserve"> </w:t>
      </w:r>
      <w:r>
        <w:t xml:space="preserve">Ionosphere Indicator</w:t>
      </w:r>
    </w:p>
    <w:p>
      <w:pPr>
        <w:pStyle w:val="FirstParagraph"/>
      </w:pPr>
      <w:r>
        <w:t xml:space="preserve">Identifier:</w:t>
      </w:r>
      <w:r>
        <w:t xml:space="preserve"> </w:t>
      </w:r>
      <w:r>
        <w:rPr>
          <w:rStyle w:val="VerbatimChar"/>
        </w:rPr>
        <w:t xml:space="preserve">src-ionind</w:t>
      </w:r>
    </w:p>
    <w:bookmarkStart w:id="108" w:name="threshold-requirements-17"/>
    <w:p>
      <w:pPr>
        <w:pStyle w:val="berschrift5"/>
      </w:pPr>
      <w:r>
        <w:t xml:space="preserve">Threshold requirements:</w:t>
      </w:r>
    </w:p>
    <w:p>
      <w:pPr>
        <w:pStyle w:val="FirstParagraph"/>
      </w:pPr>
      <w:r>
        <w:t xml:space="preserve">Not required.</w:t>
      </w:r>
      <w:r>
        <w:t xml:space="preserve"> </w:t>
      </w:r>
    </w:p>
    <w:bookmarkEnd w:id="108"/>
    <w:bookmarkStart w:id="109" w:name="goal-requirements-17"/>
    <w:p>
      <w:pPr>
        <w:pStyle w:val="berschrift5"/>
      </w:pPr>
      <w:r>
        <w:t xml:space="preserve">Goal requirements:</w:t>
      </w:r>
    </w:p>
    <w:p>
      <w:pPr>
        <w:pStyle w:val="FirstParagraph"/>
      </w:pPr>
      <w:r>
        <w:t xml:space="preserve">Flag indicating whether the backscatter imagery is “significantly impacted” by the ionosphere (0 – false, 1 – true).</w:t>
      </w:r>
      <w:r>
        <w:t xml:space="preserve"> </w:t>
      </w:r>
      <w:r>
        <w:t xml:space="preserve">Significant impact would imply that the ionospheric impact on the backscatter exceeds the radiometric calibration requirement or goal for the imagery.</w:t>
      </w:r>
    </w:p>
    <w:bookmarkEnd w:id="109"/>
    <w:bookmarkStart w:id="110" w:name="assessment-17"/>
    <w:p>
      <w:pPr>
        <w:pStyle w:val="berschrift5"/>
      </w:pPr>
      <w:r>
        <w:t xml:space="preserve">Assessment:</w:t>
      </w:r>
    </w:p>
    <w:p>
      <w:pPr>
        <w:pStyle w:val="Compact"/>
        <w:numPr>
          <w:ilvl w:val="0"/>
          <w:numId w:val="1027"/>
        </w:numPr>
      </w:pPr>
      <w:r>
        <w:t xml:space="preserve">Threshold Self-Assessment:</w:t>
      </w:r>
    </w:p>
    <w:p>
      <w:pPr>
        <w:pStyle w:val="Compact"/>
        <w:numPr>
          <w:ilvl w:val="0"/>
          <w:numId w:val="1027"/>
        </w:numPr>
      </w:pPr>
      <w:r>
        <w:t xml:space="preserve">Goal Self-Assessment:</w:t>
      </w:r>
    </w:p>
    <w:p>
      <w:pPr>
        <w:pStyle w:val="Compact"/>
        <w:numPr>
          <w:ilvl w:val="0"/>
          <w:numId w:val="1027"/>
        </w:numPr>
      </w:pPr>
      <w:r>
        <w:t xml:space="preserve">Self-Assessment Explanation/ Justification:</w:t>
      </w:r>
    </w:p>
    <w:p>
      <w:pPr>
        <w:pStyle w:val="Compact"/>
        <w:numPr>
          <w:ilvl w:val="0"/>
          <w:numId w:val="1027"/>
        </w:numPr>
      </w:pPr>
      <w:r>
        <w:t xml:space="preserve">Recommended Requirement Modification:</w:t>
      </w:r>
    </w:p>
    <w:bookmarkEnd w:id="110"/>
    <w:bookmarkEnd w:id="111"/>
    <w:bookmarkEnd w:id="112"/>
    <w:bookmarkStart w:id="161" w:name="sec:prd"/>
    <w:p>
      <w:pPr>
        <w:pStyle w:val="berschrift3"/>
      </w:pPr>
      <w:r>
        <w:rPr>
          <w:rStyle w:val="VerbatimChar"/>
        </w:rPr>
        <w:t xml:space="preserve">3.</w:t>
      </w:r>
      <w:r>
        <w:t xml:space="preserve"> </w:t>
      </w:r>
      <w:r>
        <w:t xml:space="preserve">Product Metadata</w:t>
      </w:r>
    </w:p>
    <w:p>
      <w:pPr>
        <w:pStyle w:val="FirstParagraph"/>
      </w:pPr>
      <w:r>
        <w:t xml:space="preserve">Information related to the CEOS-ARD product generation procedure and geographic parameters.</w:t>
      </w:r>
    </w:p>
    <w:bookmarkStart w:id="116" w:name="sec:prd-daccess-prod"/>
    <w:p>
      <w:pPr>
        <w:pStyle w:val="berschrift4"/>
      </w:pPr>
      <w:r>
        <w:rPr>
          <w:rStyle w:val="VerbatimChar"/>
        </w:rPr>
        <w:t xml:space="preserve">3.1.</w:t>
      </w:r>
      <w:r>
        <w:t xml:space="preserve"> </w:t>
      </w:r>
      <w:r>
        <w:t xml:space="preserve">Product Data Access</w:t>
      </w:r>
    </w:p>
    <w:p>
      <w:pPr>
        <w:pStyle w:val="FirstParagraph"/>
      </w:pPr>
      <w:r>
        <w:t xml:space="preserve">Identifier:</w:t>
      </w:r>
      <w:r>
        <w:t xml:space="preserve"> </w:t>
      </w:r>
      <w:r>
        <w:rPr>
          <w:rStyle w:val="VerbatimChar"/>
        </w:rPr>
        <w:t xml:space="preserve">prd-daccess-prod</w:t>
      </w:r>
    </w:p>
    <w:bookmarkStart w:id="113" w:name="threshold-requirements-18"/>
    <w:p>
      <w:pPr>
        <w:pStyle w:val="berschrift5"/>
      </w:pPr>
      <w:r>
        <w:t xml:space="preserve">Threshold requirements:</w:t>
      </w:r>
    </w:p>
    <w:p>
      <w:pPr>
        <w:pStyle w:val="FirstParagraph"/>
      </w:pPr>
      <w:r>
        <w:t xml:space="preserve">Processing parameters details of the CEOS-ARD product:</w:t>
      </w:r>
    </w:p>
    <w:p>
      <w:pPr>
        <w:pStyle w:val="Compact"/>
        <w:numPr>
          <w:ilvl w:val="0"/>
          <w:numId w:val="1028"/>
        </w:numPr>
      </w:pPr>
      <w:r>
        <w:t xml:space="preserve">Processing facility</w:t>
      </w:r>
    </w:p>
    <w:p>
      <w:pPr>
        <w:pStyle w:val="Compact"/>
        <w:numPr>
          <w:ilvl w:val="0"/>
          <w:numId w:val="1028"/>
        </w:numPr>
      </w:pPr>
      <w:r>
        <w:t xml:space="preserve">Processing date</w:t>
      </w:r>
    </w:p>
    <w:p>
      <w:pPr>
        <w:pStyle w:val="Compact"/>
        <w:numPr>
          <w:ilvl w:val="0"/>
          <w:numId w:val="1028"/>
        </w:numPr>
      </w:pPr>
      <w:r>
        <w:t xml:space="preserve">Software version</w:t>
      </w:r>
    </w:p>
    <w:p>
      <w:pPr>
        <w:pStyle w:val="Compact"/>
        <w:numPr>
          <w:ilvl w:val="0"/>
          <w:numId w:val="1028"/>
        </w:numPr>
      </w:pPr>
      <w:r>
        <w:t xml:space="preserve">Location from where CEOS-ARD product can be retrieved, expressed as a URL or DOI.</w:t>
      </w:r>
    </w:p>
    <w:bookmarkEnd w:id="113"/>
    <w:bookmarkStart w:id="114" w:name="goal-requirements-18"/>
    <w:p>
      <w:pPr>
        <w:pStyle w:val="berschrift5"/>
      </w:pPr>
      <w:r>
        <w:t xml:space="preserve">Goal requirements:</w:t>
      </w:r>
    </w:p>
    <w:p>
      <w:pPr>
        <w:pStyle w:val="FirstParagraph"/>
      </w:pPr>
      <w:r>
        <w:t xml:space="preserve">The metadata identifies an online location from where the data can be consistently and reliably retrieved by a computer algorithm without any manual intervention being required.</w:t>
      </w:r>
    </w:p>
    <w:bookmarkEnd w:id="114"/>
    <w:bookmarkStart w:id="115" w:name="assessment-18"/>
    <w:p>
      <w:pPr>
        <w:pStyle w:val="berschrift5"/>
      </w:pPr>
      <w:r>
        <w:t xml:space="preserve">Assessment:</w:t>
      </w:r>
    </w:p>
    <w:p>
      <w:pPr>
        <w:pStyle w:val="Compact"/>
        <w:numPr>
          <w:ilvl w:val="0"/>
          <w:numId w:val="1029"/>
        </w:numPr>
      </w:pPr>
      <w:r>
        <w:t xml:space="preserve">Threshold Self-Assessment:</w:t>
      </w:r>
    </w:p>
    <w:p>
      <w:pPr>
        <w:pStyle w:val="Compact"/>
        <w:numPr>
          <w:ilvl w:val="0"/>
          <w:numId w:val="1029"/>
        </w:numPr>
      </w:pPr>
      <w:r>
        <w:t xml:space="preserve">Goal Self-Assessment:</w:t>
      </w:r>
    </w:p>
    <w:p>
      <w:pPr>
        <w:pStyle w:val="Compact"/>
        <w:numPr>
          <w:ilvl w:val="0"/>
          <w:numId w:val="1029"/>
        </w:numPr>
      </w:pPr>
      <w:r>
        <w:t xml:space="preserve">Self-Assessment Explanation/ Justification:</w:t>
      </w:r>
    </w:p>
    <w:p>
      <w:pPr>
        <w:pStyle w:val="Compact"/>
        <w:numPr>
          <w:ilvl w:val="0"/>
          <w:numId w:val="1029"/>
        </w:numPr>
      </w:pPr>
      <w:r>
        <w:t xml:space="preserve">Recommended Requirement Modification:</w:t>
      </w:r>
    </w:p>
    <w:p>
      <w:r>
        <w:pict>
          <v:rect style="width:0;height:1.5pt" o:hralign="center" o:hrstd="t" o:hr="t"/>
        </w:pict>
      </w:r>
    </w:p>
    <w:bookmarkEnd w:id="115"/>
    <w:bookmarkEnd w:id="116"/>
    <w:bookmarkStart w:id="120" w:name="sec:prd-auxdat-sar"/>
    <w:p>
      <w:pPr>
        <w:pStyle w:val="berschrift4"/>
      </w:pPr>
      <w:r>
        <w:rPr>
          <w:rStyle w:val="VerbatimChar"/>
        </w:rPr>
        <w:t xml:space="preserve">3.2.</w:t>
      </w:r>
      <w:r>
        <w:t xml:space="preserve"> </w:t>
      </w:r>
      <w:r>
        <w:t xml:space="preserve">Auxiliary Data</w:t>
      </w:r>
    </w:p>
    <w:p>
      <w:pPr>
        <w:pStyle w:val="FirstParagraph"/>
      </w:pPr>
      <w:r>
        <w:t xml:space="preserve">Identifier:</w:t>
      </w:r>
      <w:r>
        <w:t xml:space="preserve"> </w:t>
      </w:r>
      <w:r>
        <w:rPr>
          <w:rStyle w:val="VerbatimChar"/>
        </w:rPr>
        <w:t xml:space="preserve">prd-auxdat-sar</w:t>
      </w:r>
    </w:p>
    <w:bookmarkStart w:id="117" w:name="threshold-requirements-19"/>
    <w:p>
      <w:pPr>
        <w:pStyle w:val="berschrift5"/>
      </w:pPr>
      <w:r>
        <w:t xml:space="preserve">Threshold requirements:</w:t>
      </w:r>
    </w:p>
    <w:p>
      <w:pPr>
        <w:pStyle w:val="FirstParagraph"/>
      </w:pPr>
      <w:r>
        <w:t xml:space="preserve">Not required.</w:t>
      </w:r>
      <w:r>
        <w:t xml:space="preserve"> </w:t>
      </w:r>
    </w:p>
    <w:bookmarkEnd w:id="117"/>
    <w:bookmarkStart w:id="118" w:name="goal-requirements-19"/>
    <w:p>
      <w:pPr>
        <w:pStyle w:val="berschrift5"/>
      </w:pPr>
      <w:r>
        <w:t xml:space="preserve">Goal requirements:</w:t>
      </w:r>
    </w:p>
    <w:p>
      <w:pPr>
        <w:pStyle w:val="FirstParagraph"/>
      </w:pPr>
      <w:r>
        <w:t xml:space="preserve">The metadata identifies the sources of auxiliary data used in the generation process, ideally expressed as DOIs.</w:t>
      </w:r>
    </w:p>
    <w:p>
      <w:pPr>
        <w:pStyle w:val="Textkrper"/>
      </w:pPr>
      <w:r>
        <w:t xml:space="preserve">Note:</w:t>
      </w:r>
    </w:p>
    <w:p>
      <w:pPr>
        <w:pStyle w:val="Compact"/>
        <w:numPr>
          <w:ilvl w:val="0"/>
          <w:numId w:val="1030"/>
        </w:numPr>
      </w:pPr>
      <w:r>
        <w:t xml:space="preserve">Auxiliary data includes DEMs, etc., and any additional data sources used in the generation of the product.</w:t>
      </w:r>
    </w:p>
    <w:bookmarkEnd w:id="118"/>
    <w:bookmarkStart w:id="119" w:name="assessment-19"/>
    <w:p>
      <w:pPr>
        <w:pStyle w:val="berschrift5"/>
      </w:pPr>
      <w:r>
        <w:t xml:space="preserve">Assessment:</w:t>
      </w:r>
    </w:p>
    <w:p>
      <w:pPr>
        <w:pStyle w:val="Compact"/>
        <w:numPr>
          <w:ilvl w:val="0"/>
          <w:numId w:val="1031"/>
        </w:numPr>
      </w:pPr>
      <w:r>
        <w:t xml:space="preserve">Threshold Self-Assessment:</w:t>
      </w:r>
    </w:p>
    <w:p>
      <w:pPr>
        <w:pStyle w:val="Compact"/>
        <w:numPr>
          <w:ilvl w:val="0"/>
          <w:numId w:val="1031"/>
        </w:numPr>
      </w:pPr>
      <w:r>
        <w:t xml:space="preserve">Goal Self-Assessment:</w:t>
      </w:r>
    </w:p>
    <w:p>
      <w:pPr>
        <w:pStyle w:val="Compact"/>
        <w:numPr>
          <w:ilvl w:val="0"/>
          <w:numId w:val="1031"/>
        </w:numPr>
      </w:pPr>
      <w:r>
        <w:t xml:space="preserve">Self-Assessment Explanation/ Justification:</w:t>
      </w:r>
    </w:p>
    <w:p>
      <w:pPr>
        <w:pStyle w:val="Compact"/>
        <w:numPr>
          <w:ilvl w:val="0"/>
          <w:numId w:val="1031"/>
        </w:numPr>
      </w:pPr>
      <w:r>
        <w:t xml:space="preserve">Recommended Requirement Modification:</w:t>
      </w:r>
    </w:p>
    <w:p>
      <w:r>
        <w:pict>
          <v:rect style="width:0;height:1.5pt" o:hralign="center" o:hrstd="t" o:hr="t"/>
        </w:pict>
      </w:r>
    </w:p>
    <w:bookmarkEnd w:id="119"/>
    <w:bookmarkEnd w:id="120"/>
    <w:bookmarkStart w:id="124" w:name="sec:prd-samspa"/>
    <w:p>
      <w:pPr>
        <w:pStyle w:val="berschrift4"/>
      </w:pPr>
      <w:r>
        <w:rPr>
          <w:rStyle w:val="VerbatimChar"/>
        </w:rPr>
        <w:t xml:space="preserve">3.3.</w:t>
      </w:r>
      <w:r>
        <w:t xml:space="preserve"> </w:t>
      </w:r>
      <w:r>
        <w:t xml:space="preserve">Product Sample Spacing</w:t>
      </w:r>
    </w:p>
    <w:p>
      <w:pPr>
        <w:pStyle w:val="FirstParagraph"/>
      </w:pPr>
      <w:r>
        <w:t xml:space="preserve">Identifier:</w:t>
      </w:r>
      <w:r>
        <w:t xml:space="preserve"> </w:t>
      </w:r>
      <w:r>
        <w:rPr>
          <w:rStyle w:val="VerbatimChar"/>
        </w:rPr>
        <w:t xml:space="preserve">prd-samspa</w:t>
      </w:r>
    </w:p>
    <w:bookmarkStart w:id="121" w:name="threshold-requirements-20"/>
    <w:p>
      <w:pPr>
        <w:pStyle w:val="berschrift5"/>
      </w:pPr>
      <w:r>
        <w:t xml:space="preserve">Threshold requirements:</w:t>
      </w:r>
    </w:p>
    <w:p>
      <w:pPr>
        <w:pStyle w:val="FirstParagraph"/>
      </w:pPr>
      <w:r>
        <w:t xml:space="preserve">CEOS-ARD product processing parameters details:</w:t>
      </w:r>
    </w:p>
    <w:p>
      <w:pPr>
        <w:pStyle w:val="Compact"/>
        <w:numPr>
          <w:ilvl w:val="0"/>
          <w:numId w:val="1032"/>
        </w:numPr>
      </w:pPr>
      <w:r>
        <w:t xml:space="preserve">Pixel (column) spacing</w:t>
      </w:r>
    </w:p>
    <w:p>
      <w:pPr>
        <w:pStyle w:val="Compact"/>
        <w:numPr>
          <w:ilvl w:val="0"/>
          <w:numId w:val="1032"/>
        </w:numPr>
      </w:pPr>
      <w:r>
        <w:t xml:space="preserve">Line (row) spacing</w:t>
      </w:r>
    </w:p>
    <w:bookmarkEnd w:id="121"/>
    <w:bookmarkStart w:id="122" w:name="goal-requirements-20"/>
    <w:p>
      <w:pPr>
        <w:pStyle w:val="berschrift5"/>
      </w:pPr>
      <w:r>
        <w:t xml:space="preserve">Goal requirements:</w:t>
      </w:r>
    </w:p>
    <w:p>
      <w:pPr>
        <w:pStyle w:val="FirstParagraph"/>
      </w:pPr>
      <w:r>
        <w:t xml:space="preserve">As threshold.</w:t>
      </w:r>
      <w:r>
        <w:t xml:space="preserve"> </w:t>
      </w:r>
    </w:p>
    <w:bookmarkEnd w:id="122"/>
    <w:bookmarkStart w:id="123" w:name="assessment-20"/>
    <w:p>
      <w:pPr>
        <w:pStyle w:val="berschrift5"/>
      </w:pPr>
      <w:r>
        <w:t xml:space="preserve">Assessment:</w:t>
      </w:r>
    </w:p>
    <w:p>
      <w:pPr>
        <w:pStyle w:val="Compact"/>
        <w:numPr>
          <w:ilvl w:val="0"/>
          <w:numId w:val="1033"/>
        </w:numPr>
      </w:pPr>
      <w:r>
        <w:t xml:space="preserve">Threshold Self-Assessment:</w:t>
      </w:r>
    </w:p>
    <w:p>
      <w:pPr>
        <w:pStyle w:val="Compact"/>
        <w:numPr>
          <w:ilvl w:val="0"/>
          <w:numId w:val="1033"/>
        </w:numPr>
      </w:pPr>
      <w:r>
        <w:t xml:space="preserve">Goal Self-Assessment:</w:t>
      </w:r>
    </w:p>
    <w:p>
      <w:pPr>
        <w:pStyle w:val="Compact"/>
        <w:numPr>
          <w:ilvl w:val="0"/>
          <w:numId w:val="1033"/>
        </w:numPr>
      </w:pPr>
      <w:r>
        <w:t xml:space="preserve">Self-Assessment Explanation/ Justification:</w:t>
      </w:r>
    </w:p>
    <w:p>
      <w:pPr>
        <w:pStyle w:val="Compact"/>
        <w:numPr>
          <w:ilvl w:val="0"/>
          <w:numId w:val="1033"/>
        </w:numPr>
      </w:pPr>
      <w:r>
        <w:t xml:space="preserve">Recommended Requirement Modification:</w:t>
      </w:r>
    </w:p>
    <w:p>
      <w:r>
        <w:pict>
          <v:rect style="width:0;height:1.5pt" o:hralign="center" o:hrstd="t" o:hr="t"/>
        </w:pict>
      </w:r>
    </w:p>
    <w:bookmarkEnd w:id="123"/>
    <w:bookmarkEnd w:id="124"/>
    <w:bookmarkStart w:id="128" w:name="sec:prd-enl"/>
    <w:p>
      <w:pPr>
        <w:pStyle w:val="berschrift4"/>
      </w:pPr>
      <w:r>
        <w:rPr>
          <w:rStyle w:val="VerbatimChar"/>
        </w:rPr>
        <w:t xml:space="preserve">3.4.</w:t>
      </w:r>
      <w:r>
        <w:t xml:space="preserve"> </w:t>
      </w:r>
      <w:r>
        <w:t xml:space="preserve">Product Equivalent Number of Looks</w:t>
      </w:r>
    </w:p>
    <w:p>
      <w:pPr>
        <w:pStyle w:val="FirstParagraph"/>
      </w:pPr>
      <w:r>
        <w:t xml:space="preserve">Identifier:</w:t>
      </w:r>
      <w:r>
        <w:t xml:space="preserve"> </w:t>
      </w:r>
      <w:r>
        <w:rPr>
          <w:rStyle w:val="VerbatimChar"/>
        </w:rPr>
        <w:t xml:space="preserve">prd-enl</w:t>
      </w:r>
    </w:p>
    <w:bookmarkStart w:id="125" w:name="threshold-requirements-21"/>
    <w:p>
      <w:pPr>
        <w:pStyle w:val="berschrift5"/>
      </w:pPr>
      <w:r>
        <w:t xml:space="preserve">Threshold requirements:</w:t>
      </w:r>
    </w:p>
    <w:p>
      <w:pPr>
        <w:pStyle w:val="FirstParagraph"/>
      </w:pPr>
      <w:r>
        <w:t xml:space="preserve">Not required.</w:t>
      </w:r>
      <w:r>
        <w:t xml:space="preserve"> </w:t>
      </w:r>
    </w:p>
    <w:bookmarkEnd w:id="125"/>
    <w:bookmarkStart w:id="126" w:name="goal-requirements-21"/>
    <w:p>
      <w:pPr>
        <w:pStyle w:val="berschrift5"/>
      </w:pPr>
      <w:r>
        <w:t xml:space="preserve">Goal requirements:</w:t>
      </w:r>
    </w:p>
    <w:p>
      <w:pPr>
        <w:pStyle w:val="FirstParagraph"/>
      </w:pPr>
      <w:r>
        <w:t xml:space="preserve">Equivalent Number of Looks (ENL)</w:t>
      </w:r>
    </w:p>
    <w:bookmarkEnd w:id="126"/>
    <w:bookmarkStart w:id="127" w:name="assessment-21"/>
    <w:p>
      <w:pPr>
        <w:pStyle w:val="berschrift5"/>
      </w:pPr>
      <w:r>
        <w:t xml:space="preserve">Assessment:</w:t>
      </w:r>
    </w:p>
    <w:p>
      <w:pPr>
        <w:pStyle w:val="Compact"/>
        <w:numPr>
          <w:ilvl w:val="0"/>
          <w:numId w:val="1034"/>
        </w:numPr>
      </w:pPr>
      <w:r>
        <w:t xml:space="preserve">Threshold Self-Assessment:</w:t>
      </w:r>
    </w:p>
    <w:p>
      <w:pPr>
        <w:pStyle w:val="Compact"/>
        <w:numPr>
          <w:ilvl w:val="0"/>
          <w:numId w:val="1034"/>
        </w:numPr>
      </w:pPr>
      <w:r>
        <w:t xml:space="preserve">Goal Self-Assessment:</w:t>
      </w:r>
    </w:p>
    <w:p>
      <w:pPr>
        <w:pStyle w:val="Compact"/>
        <w:numPr>
          <w:ilvl w:val="0"/>
          <w:numId w:val="1034"/>
        </w:numPr>
      </w:pPr>
      <w:r>
        <w:t xml:space="preserve">Self-Assessment Explanation/ Justification:</w:t>
      </w:r>
    </w:p>
    <w:p>
      <w:pPr>
        <w:pStyle w:val="Compact"/>
        <w:numPr>
          <w:ilvl w:val="0"/>
          <w:numId w:val="1034"/>
        </w:numPr>
      </w:pPr>
      <w:r>
        <w:t xml:space="preserve">Recommended Requirement Modification:</w:t>
      </w:r>
    </w:p>
    <w:p>
      <w:r>
        <w:pict>
          <v:rect style="width:0;height:1.5pt" o:hralign="center" o:hrstd="t" o:hr="t"/>
        </w:pict>
      </w:r>
    </w:p>
    <w:bookmarkEnd w:id="127"/>
    <w:bookmarkEnd w:id="128"/>
    <w:bookmarkStart w:id="132" w:name="sec:prd-resol"/>
    <w:p>
      <w:pPr>
        <w:pStyle w:val="berschrift4"/>
      </w:pPr>
      <w:r>
        <w:rPr>
          <w:rStyle w:val="VerbatimChar"/>
        </w:rPr>
        <w:t xml:space="preserve">3.5.</w:t>
      </w:r>
      <w:r>
        <w:t xml:space="preserve"> </w:t>
      </w:r>
      <w:r>
        <w:t xml:space="preserve">Product Resolution</w:t>
      </w:r>
    </w:p>
    <w:p>
      <w:pPr>
        <w:pStyle w:val="FirstParagraph"/>
      </w:pPr>
      <w:r>
        <w:t xml:space="preserve">Identifier:</w:t>
      </w:r>
      <w:r>
        <w:t xml:space="preserve"> </w:t>
      </w:r>
      <w:r>
        <w:rPr>
          <w:rStyle w:val="VerbatimChar"/>
        </w:rPr>
        <w:t xml:space="preserve">prd-resol</w:t>
      </w:r>
    </w:p>
    <w:bookmarkStart w:id="129" w:name="threshold-requirements-22"/>
    <w:p>
      <w:pPr>
        <w:pStyle w:val="berschrift5"/>
      </w:pPr>
      <w:r>
        <w:t xml:space="preserve">Threshold requirements:</w:t>
      </w:r>
    </w:p>
    <w:p>
      <w:pPr>
        <w:pStyle w:val="FirstParagraph"/>
      </w:pPr>
      <w:r>
        <w:t xml:space="preserve">Not required.</w:t>
      </w:r>
      <w:r>
        <w:t xml:space="preserve"> </w:t>
      </w:r>
    </w:p>
    <w:bookmarkEnd w:id="129"/>
    <w:bookmarkStart w:id="130" w:name="goal-requirements-22"/>
    <w:p>
      <w:pPr>
        <w:pStyle w:val="berschrift5"/>
      </w:pPr>
      <w:r>
        <w:t xml:space="preserve">Goal requirements:</w:t>
      </w:r>
    </w:p>
    <w:p>
      <w:pPr>
        <w:pStyle w:val="FirstParagraph"/>
      </w:pPr>
      <w:r>
        <w:t xml:space="preserve">Average spatial resolution of the CEOS-ARD product along:</w:t>
      </w:r>
    </w:p>
    <w:p>
      <w:pPr>
        <w:pStyle w:val="Compact"/>
        <w:numPr>
          <w:ilvl w:val="0"/>
          <w:numId w:val="1035"/>
        </w:numPr>
      </w:pPr>
      <w:r>
        <w:t xml:space="preserve">Columns</w:t>
      </w:r>
    </w:p>
    <w:p>
      <w:pPr>
        <w:pStyle w:val="Compact"/>
        <w:numPr>
          <w:ilvl w:val="0"/>
          <w:numId w:val="1035"/>
        </w:numPr>
      </w:pPr>
      <w:r>
        <w:t xml:space="preserve">Rows</w:t>
      </w:r>
    </w:p>
    <w:bookmarkEnd w:id="130"/>
    <w:bookmarkStart w:id="131" w:name="assessment-22"/>
    <w:p>
      <w:pPr>
        <w:pStyle w:val="berschrift5"/>
      </w:pPr>
      <w:r>
        <w:t xml:space="preserve">Assessment:</w:t>
      </w:r>
    </w:p>
    <w:p>
      <w:pPr>
        <w:pStyle w:val="Compact"/>
        <w:numPr>
          <w:ilvl w:val="0"/>
          <w:numId w:val="1036"/>
        </w:numPr>
      </w:pPr>
      <w:r>
        <w:t xml:space="preserve">Threshold Self-Assessment:</w:t>
      </w:r>
    </w:p>
    <w:p>
      <w:pPr>
        <w:pStyle w:val="Compact"/>
        <w:numPr>
          <w:ilvl w:val="0"/>
          <w:numId w:val="1036"/>
        </w:numPr>
      </w:pPr>
      <w:r>
        <w:t xml:space="preserve">Goal Self-Assessment:</w:t>
      </w:r>
    </w:p>
    <w:p>
      <w:pPr>
        <w:pStyle w:val="Compact"/>
        <w:numPr>
          <w:ilvl w:val="0"/>
          <w:numId w:val="1036"/>
        </w:numPr>
      </w:pPr>
      <w:r>
        <w:t xml:space="preserve">Self-Assessment Explanation/ Justification:</w:t>
      </w:r>
    </w:p>
    <w:p>
      <w:pPr>
        <w:pStyle w:val="Compact"/>
        <w:numPr>
          <w:ilvl w:val="0"/>
          <w:numId w:val="1036"/>
        </w:numPr>
      </w:pPr>
      <w:r>
        <w:t xml:space="preserve">Recommended Requirement Modification:</w:t>
      </w:r>
    </w:p>
    <w:p>
      <w:r>
        <w:pict>
          <v:rect style="width:0;height:1.5pt" o:hralign="center" o:hrstd="t" o:hr="t"/>
        </w:pict>
      </w:r>
    </w:p>
    <w:bookmarkEnd w:id="131"/>
    <w:bookmarkEnd w:id="132"/>
    <w:bookmarkStart w:id="136" w:name="sec:prd-spekfil"/>
    <w:p>
      <w:pPr>
        <w:pStyle w:val="berschrift4"/>
      </w:pPr>
      <w:r>
        <w:rPr>
          <w:rStyle w:val="VerbatimChar"/>
        </w:rPr>
        <w:t xml:space="preserve">3.6.</w:t>
      </w:r>
      <w:r>
        <w:t xml:space="preserve"> </w:t>
      </w:r>
      <w:r>
        <w:t xml:space="preserve">Product Filtering</w:t>
      </w:r>
    </w:p>
    <w:p>
      <w:pPr>
        <w:pStyle w:val="FirstParagraph"/>
      </w:pPr>
      <w:r>
        <w:t xml:space="preserve">Identifier:</w:t>
      </w:r>
      <w:r>
        <w:t xml:space="preserve"> </w:t>
      </w:r>
      <w:r>
        <w:rPr>
          <w:rStyle w:val="VerbatimChar"/>
        </w:rPr>
        <w:t xml:space="preserve">prd-spekfil</w:t>
      </w:r>
    </w:p>
    <w:bookmarkStart w:id="133" w:name="threshold-requirements-23"/>
    <w:p>
      <w:pPr>
        <w:pStyle w:val="berschrift5"/>
      </w:pPr>
      <w:r>
        <w:t xml:space="preserve">Threshold requirements:</w:t>
      </w:r>
    </w:p>
    <w:p>
      <w:pPr>
        <w:pStyle w:val="FirstParagraph"/>
      </w:pPr>
      <w:r>
        <w:t xml:space="preserve">Flag if speckle filter has been applied (True/False).</w:t>
      </w:r>
    </w:p>
    <w:p>
      <w:pPr>
        <w:pStyle w:val="Textkrper"/>
      </w:pPr>
      <w:r>
        <w:t xml:space="preserve">Metadata should include:</w:t>
      </w:r>
    </w:p>
    <w:p>
      <w:pPr>
        <w:pStyle w:val="Compact"/>
        <w:numPr>
          <w:ilvl w:val="0"/>
          <w:numId w:val="1037"/>
        </w:numPr>
      </w:pPr>
      <w:r>
        <w:t xml:space="preserve">Reference to algorithm as DOI or URL</w:t>
      </w:r>
    </w:p>
    <w:p>
      <w:pPr>
        <w:pStyle w:val="Compact"/>
        <w:numPr>
          <w:ilvl w:val="0"/>
          <w:numId w:val="1037"/>
        </w:numPr>
      </w:pPr>
      <w:r>
        <w:t xml:space="preserve">Input filtering parameters</w:t>
      </w:r>
    </w:p>
    <w:p>
      <w:pPr>
        <w:pStyle w:val="Compact"/>
        <w:numPr>
          <w:ilvl w:val="1"/>
          <w:numId w:val="1038"/>
        </w:numPr>
      </w:pPr>
      <w:r>
        <w:t xml:space="preserve">Type</w:t>
      </w:r>
    </w:p>
    <w:p>
      <w:pPr>
        <w:pStyle w:val="Compact"/>
        <w:numPr>
          <w:ilvl w:val="1"/>
          <w:numId w:val="1038"/>
        </w:numPr>
      </w:pPr>
      <w:r>
        <w:t xml:space="preserve">Window size in pixel units</w:t>
      </w:r>
    </w:p>
    <w:p>
      <w:pPr>
        <w:pStyle w:val="Compact"/>
        <w:numPr>
          <w:ilvl w:val="1"/>
          <w:numId w:val="1038"/>
        </w:numPr>
      </w:pPr>
      <w:r>
        <w:t xml:space="preserve">Any other parameters defining the speckle filter used</w:t>
      </w:r>
    </w:p>
    <w:bookmarkEnd w:id="133"/>
    <w:bookmarkStart w:id="134" w:name="goal-requirements-23"/>
    <w:p>
      <w:pPr>
        <w:pStyle w:val="berschrift5"/>
      </w:pPr>
      <w:r>
        <w:t xml:space="preserve">Goal requirements:</w:t>
      </w:r>
    </w:p>
    <w:p>
      <w:pPr>
        <w:pStyle w:val="FirstParagraph"/>
      </w:pPr>
      <w:r>
        <w:t xml:space="preserve">As threshold.</w:t>
      </w:r>
      <w:r>
        <w:t xml:space="preserve"> </w:t>
      </w:r>
    </w:p>
    <w:bookmarkEnd w:id="134"/>
    <w:bookmarkStart w:id="135" w:name="assessment-23"/>
    <w:p>
      <w:pPr>
        <w:pStyle w:val="berschrift5"/>
      </w:pPr>
      <w:r>
        <w:t xml:space="preserve">Assessment:</w:t>
      </w:r>
    </w:p>
    <w:p>
      <w:pPr>
        <w:pStyle w:val="Compact"/>
        <w:numPr>
          <w:ilvl w:val="0"/>
          <w:numId w:val="1039"/>
        </w:numPr>
      </w:pPr>
      <w:r>
        <w:t xml:space="preserve">Threshold Self-Assessment:</w:t>
      </w:r>
    </w:p>
    <w:p>
      <w:pPr>
        <w:pStyle w:val="Compact"/>
        <w:numPr>
          <w:ilvl w:val="0"/>
          <w:numId w:val="1039"/>
        </w:numPr>
      </w:pPr>
      <w:r>
        <w:t xml:space="preserve">Goal Self-Assessment:</w:t>
      </w:r>
    </w:p>
    <w:p>
      <w:pPr>
        <w:pStyle w:val="Compact"/>
        <w:numPr>
          <w:ilvl w:val="0"/>
          <w:numId w:val="1039"/>
        </w:numPr>
      </w:pPr>
      <w:r>
        <w:t xml:space="preserve">Self-Assessment Explanation/ Justification:</w:t>
      </w:r>
    </w:p>
    <w:p>
      <w:pPr>
        <w:pStyle w:val="Compact"/>
        <w:numPr>
          <w:ilvl w:val="0"/>
          <w:numId w:val="1039"/>
        </w:numPr>
      </w:pPr>
      <w:r>
        <w:t xml:space="preserve">Recommended Requirement Modification:</w:t>
      </w:r>
    </w:p>
    <w:p>
      <w:r>
        <w:pict>
          <v:rect style="width:0;height:1.5pt" o:hralign="center" o:hrstd="t" o:hr="t"/>
        </w:pict>
      </w:r>
    </w:p>
    <w:bookmarkEnd w:id="135"/>
    <w:bookmarkEnd w:id="136"/>
    <w:bookmarkStart w:id="140" w:name="sec:prd-geobbox"/>
    <w:p>
      <w:pPr>
        <w:pStyle w:val="berschrift4"/>
      </w:pPr>
      <w:r>
        <w:rPr>
          <w:rStyle w:val="VerbatimChar"/>
        </w:rPr>
        <w:t xml:space="preserve">3.7.</w:t>
      </w:r>
      <w:r>
        <w:t xml:space="preserve"> </w:t>
      </w:r>
      <w:r>
        <w:t xml:space="preserve">Product Bounding Box</w:t>
      </w:r>
    </w:p>
    <w:p>
      <w:pPr>
        <w:pStyle w:val="FirstParagraph"/>
      </w:pPr>
      <w:r>
        <w:t xml:space="preserve">Identifier:</w:t>
      </w:r>
      <w:r>
        <w:t xml:space="preserve"> </w:t>
      </w:r>
      <w:r>
        <w:rPr>
          <w:rStyle w:val="VerbatimChar"/>
        </w:rPr>
        <w:t xml:space="preserve">prd-geobbox</w:t>
      </w:r>
    </w:p>
    <w:bookmarkStart w:id="137" w:name="threshold-requirements-24"/>
    <w:p>
      <w:pPr>
        <w:pStyle w:val="berschrift5"/>
      </w:pPr>
      <w:r>
        <w:t xml:space="preserve">Threshold requirements:</w:t>
      </w:r>
    </w:p>
    <w:p>
      <w:pPr>
        <w:pStyle w:val="FirstParagraph"/>
      </w:pPr>
      <w:r>
        <w:t xml:space="preserve">Two opposite corners of the product file (bounding box, including any zero-fill values) are identified,</w:t>
      </w:r>
      <w:r>
        <w:t xml:space="preserve"> </w:t>
      </w:r>
      <w:r>
        <w:t xml:space="preserve">expressed in the coordinate reference system defined in Section </w:t>
      </w:r>
      <w:r>
        <w:t xml:space="preserve">“</w:t>
      </w:r>
      <w:hyperlink w:anchor="sec:prd-crs-sar">
        <w:r>
          <w:rPr>
            <w:rStyle w:val="Hyperlink"/>
          </w:rPr>
          <w:t xml:space="preserve">Product Metadata: Product Coordinate Reference System</w:t>
        </w:r>
      </w:hyperlink>
      <w:r>
        <w:t xml:space="preserve">”</w:t>
      </w:r>
      <w:r>
        <w:t xml:space="preserve">.</w:t>
      </w:r>
    </w:p>
    <w:p>
      <w:pPr>
        <w:pStyle w:val="Textkrper"/>
      </w:pPr>
      <w:r>
        <w:t xml:space="preserve">Note:</w:t>
      </w:r>
    </w:p>
    <w:p>
      <w:pPr>
        <w:pStyle w:val="Compact"/>
        <w:numPr>
          <w:ilvl w:val="0"/>
          <w:numId w:val="1040"/>
        </w:numPr>
      </w:pPr>
      <w:r>
        <w:t xml:space="preserve">Four corners of the product file are recommended for scenes crossing the Antemeridian, or the North or the South Pole.</w:t>
      </w:r>
    </w:p>
    <w:bookmarkEnd w:id="137"/>
    <w:bookmarkStart w:id="138" w:name="goal-requirements-24"/>
    <w:p>
      <w:pPr>
        <w:pStyle w:val="berschrift5"/>
      </w:pPr>
      <w:r>
        <w:t xml:space="preserve">Goal requirements:</w:t>
      </w:r>
    </w:p>
    <w:p>
      <w:pPr>
        <w:pStyle w:val="FirstParagraph"/>
      </w:pPr>
      <w:r>
        <w:t xml:space="preserve">As threshold.</w:t>
      </w:r>
      <w:r>
        <w:t xml:space="preserve"> </w:t>
      </w:r>
    </w:p>
    <w:bookmarkEnd w:id="138"/>
    <w:bookmarkStart w:id="139" w:name="assessment-24"/>
    <w:p>
      <w:pPr>
        <w:pStyle w:val="berschrift5"/>
      </w:pPr>
      <w:r>
        <w:t xml:space="preserve">Assessment:</w:t>
      </w:r>
    </w:p>
    <w:p>
      <w:pPr>
        <w:pStyle w:val="Compact"/>
        <w:numPr>
          <w:ilvl w:val="0"/>
          <w:numId w:val="1041"/>
        </w:numPr>
      </w:pPr>
      <w:r>
        <w:t xml:space="preserve">Threshold Self-Assessment:</w:t>
      </w:r>
    </w:p>
    <w:p>
      <w:pPr>
        <w:pStyle w:val="Compact"/>
        <w:numPr>
          <w:ilvl w:val="0"/>
          <w:numId w:val="1041"/>
        </w:numPr>
      </w:pPr>
      <w:r>
        <w:t xml:space="preserve">Goal Self-Assessment:</w:t>
      </w:r>
    </w:p>
    <w:p>
      <w:pPr>
        <w:pStyle w:val="Compact"/>
        <w:numPr>
          <w:ilvl w:val="0"/>
          <w:numId w:val="1041"/>
        </w:numPr>
      </w:pPr>
      <w:r>
        <w:t xml:space="preserve">Self-Assessment Explanation/ Justification:</w:t>
      </w:r>
    </w:p>
    <w:p>
      <w:pPr>
        <w:pStyle w:val="Compact"/>
        <w:numPr>
          <w:ilvl w:val="0"/>
          <w:numId w:val="1041"/>
        </w:numPr>
      </w:pPr>
      <w:r>
        <w:t xml:space="preserve">Recommended Requirement Modification:</w:t>
      </w:r>
    </w:p>
    <w:p>
      <w:r>
        <w:pict>
          <v:rect style="width:0;height:1.5pt" o:hralign="center" o:hrstd="t" o:hr="t"/>
        </w:pict>
      </w:r>
    </w:p>
    <w:bookmarkEnd w:id="139"/>
    <w:bookmarkEnd w:id="140"/>
    <w:bookmarkStart w:id="144" w:name="sec:prd-geoarea-sar"/>
    <w:p>
      <w:pPr>
        <w:pStyle w:val="berschrift4"/>
      </w:pPr>
      <w:r>
        <w:rPr>
          <w:rStyle w:val="VerbatimChar"/>
        </w:rPr>
        <w:t xml:space="preserve">3.8.</w:t>
      </w:r>
      <w:r>
        <w:t xml:space="preserve"> </w:t>
      </w:r>
      <w:r>
        <w:t xml:space="preserve">Product Geographical Extent</w:t>
      </w:r>
    </w:p>
    <w:p>
      <w:pPr>
        <w:pStyle w:val="FirstParagraph"/>
      </w:pPr>
      <w:r>
        <w:t xml:space="preserve">Identifier:</w:t>
      </w:r>
      <w:r>
        <w:t xml:space="preserve"> </w:t>
      </w:r>
      <w:r>
        <w:rPr>
          <w:rStyle w:val="VerbatimChar"/>
        </w:rPr>
        <w:t xml:space="preserve">prd-geoarea-sar</w:t>
      </w:r>
    </w:p>
    <w:bookmarkStart w:id="141" w:name="threshold-requirements-25"/>
    <w:p>
      <w:pPr>
        <w:pStyle w:val="berschrift5"/>
      </w:pPr>
      <w:r>
        <w:t xml:space="preserve">Threshold requirements:</w:t>
      </w:r>
    </w:p>
    <w:p>
      <w:pPr>
        <w:pStyle w:val="FirstParagraph"/>
      </w:pPr>
      <w:r>
        <w:t xml:space="preserve">The geometry of the SAR image footprint expressed in WGS84, in a standardised format (e.g., WKT Polygon).</w:t>
      </w:r>
    </w:p>
    <w:bookmarkEnd w:id="141"/>
    <w:bookmarkStart w:id="142" w:name="goal-requirements-25"/>
    <w:p>
      <w:pPr>
        <w:pStyle w:val="berschrift5"/>
      </w:pPr>
      <w:r>
        <w:t xml:space="preserve">Goal requirements:</w:t>
      </w:r>
    </w:p>
    <w:p>
      <w:pPr>
        <w:pStyle w:val="FirstParagraph"/>
      </w:pPr>
      <w:r>
        <w:t xml:space="preserve">As threshold.</w:t>
      </w:r>
      <w:r>
        <w:t xml:space="preserve"> </w:t>
      </w:r>
    </w:p>
    <w:bookmarkEnd w:id="142"/>
    <w:bookmarkStart w:id="143" w:name="assessment-25"/>
    <w:p>
      <w:pPr>
        <w:pStyle w:val="berschrift5"/>
      </w:pPr>
      <w:r>
        <w:t xml:space="preserve">Assessment:</w:t>
      </w:r>
    </w:p>
    <w:p>
      <w:pPr>
        <w:pStyle w:val="Compact"/>
        <w:numPr>
          <w:ilvl w:val="0"/>
          <w:numId w:val="1042"/>
        </w:numPr>
      </w:pPr>
      <w:r>
        <w:t xml:space="preserve">Threshold Self-Assessment:</w:t>
      </w:r>
    </w:p>
    <w:p>
      <w:pPr>
        <w:pStyle w:val="Compact"/>
        <w:numPr>
          <w:ilvl w:val="0"/>
          <w:numId w:val="1042"/>
        </w:numPr>
      </w:pPr>
      <w:r>
        <w:t xml:space="preserve">Goal Self-Assessment:</w:t>
      </w:r>
    </w:p>
    <w:p>
      <w:pPr>
        <w:pStyle w:val="Compact"/>
        <w:numPr>
          <w:ilvl w:val="0"/>
          <w:numId w:val="1042"/>
        </w:numPr>
      </w:pPr>
      <w:r>
        <w:t xml:space="preserve">Self-Assessment Explanation/ Justification:</w:t>
      </w:r>
    </w:p>
    <w:p>
      <w:pPr>
        <w:pStyle w:val="Compact"/>
        <w:numPr>
          <w:ilvl w:val="0"/>
          <w:numId w:val="1042"/>
        </w:numPr>
      </w:pPr>
      <w:r>
        <w:t xml:space="preserve">Recommended Requirement Modification:</w:t>
      </w:r>
    </w:p>
    <w:p>
      <w:r>
        <w:pict>
          <v:rect style="width:0;height:1.5pt" o:hralign="center" o:hrstd="t" o:hr="t"/>
        </w:pict>
      </w:r>
    </w:p>
    <w:bookmarkEnd w:id="143"/>
    <w:bookmarkEnd w:id="144"/>
    <w:bookmarkStart w:id="148" w:name="sec:prd-imgsize"/>
    <w:p>
      <w:pPr>
        <w:pStyle w:val="berschrift4"/>
      </w:pPr>
      <w:r>
        <w:rPr>
          <w:rStyle w:val="VerbatimChar"/>
        </w:rPr>
        <w:t xml:space="preserve">3.9.</w:t>
      </w:r>
      <w:r>
        <w:t xml:space="preserve"> </w:t>
      </w:r>
      <w:r>
        <w:t xml:space="preserve">Product Image Size</w:t>
      </w:r>
    </w:p>
    <w:p>
      <w:pPr>
        <w:pStyle w:val="FirstParagraph"/>
      </w:pPr>
      <w:r>
        <w:t xml:space="preserve">Identifier:</w:t>
      </w:r>
      <w:r>
        <w:t xml:space="preserve"> </w:t>
      </w:r>
      <w:r>
        <w:rPr>
          <w:rStyle w:val="VerbatimChar"/>
        </w:rPr>
        <w:t xml:space="preserve">prd-imgsize</w:t>
      </w:r>
    </w:p>
    <w:bookmarkStart w:id="145" w:name="threshold-requirements-26"/>
    <w:p>
      <w:pPr>
        <w:pStyle w:val="berschrift5"/>
      </w:pPr>
      <w:r>
        <w:t xml:space="preserve">Threshold requirements:</w:t>
      </w:r>
    </w:p>
    <w:p>
      <w:pPr>
        <w:pStyle w:val="FirstParagraph"/>
      </w:pPr>
      <w:r>
        <w:t xml:space="preserve">Image attributes of the CEOS-ARD product:</w:t>
      </w:r>
    </w:p>
    <w:p>
      <w:pPr>
        <w:pStyle w:val="Compact"/>
        <w:numPr>
          <w:ilvl w:val="0"/>
          <w:numId w:val="1043"/>
        </w:numPr>
      </w:pPr>
      <w:r>
        <w:t xml:space="preserve">Number of lines</w:t>
      </w:r>
    </w:p>
    <w:p>
      <w:pPr>
        <w:pStyle w:val="Compact"/>
        <w:numPr>
          <w:ilvl w:val="0"/>
          <w:numId w:val="1043"/>
        </w:numPr>
      </w:pPr>
      <w:r>
        <w:t xml:space="preserve">Number of pixels per line</w:t>
      </w:r>
    </w:p>
    <w:p>
      <w:pPr>
        <w:pStyle w:val="Compact"/>
        <w:numPr>
          <w:ilvl w:val="0"/>
          <w:numId w:val="1043"/>
        </w:numPr>
      </w:pPr>
      <w:r>
        <w:t xml:space="preserve">File header size (if applicable)</w:t>
      </w:r>
    </w:p>
    <w:p>
      <w:pPr>
        <w:pStyle w:val="Compact"/>
        <w:numPr>
          <w:ilvl w:val="0"/>
          <w:numId w:val="1043"/>
        </w:numPr>
      </w:pPr>
      <w:r>
        <w:t xml:space="preserve">Number of no-data border pixels (if applicable)</w:t>
      </w:r>
    </w:p>
    <w:bookmarkEnd w:id="145"/>
    <w:bookmarkStart w:id="146" w:name="goal-requirements-26"/>
    <w:p>
      <w:pPr>
        <w:pStyle w:val="berschrift5"/>
      </w:pPr>
      <w:r>
        <w:t xml:space="preserve">Goal requirements:</w:t>
      </w:r>
    </w:p>
    <w:p>
      <w:pPr>
        <w:pStyle w:val="FirstParagraph"/>
      </w:pPr>
      <w:r>
        <w:t xml:space="preserve">As threshold.</w:t>
      </w:r>
      <w:r>
        <w:t xml:space="preserve"> </w:t>
      </w:r>
    </w:p>
    <w:bookmarkEnd w:id="146"/>
    <w:bookmarkStart w:id="147" w:name="assessment-26"/>
    <w:p>
      <w:pPr>
        <w:pStyle w:val="berschrift5"/>
      </w:pPr>
      <w:r>
        <w:t xml:space="preserve">Assessment:</w:t>
      </w:r>
    </w:p>
    <w:p>
      <w:pPr>
        <w:pStyle w:val="Compact"/>
        <w:numPr>
          <w:ilvl w:val="0"/>
          <w:numId w:val="1044"/>
        </w:numPr>
      </w:pPr>
      <w:r>
        <w:t xml:space="preserve">Threshold Self-Assessment:</w:t>
      </w:r>
    </w:p>
    <w:p>
      <w:pPr>
        <w:pStyle w:val="Compact"/>
        <w:numPr>
          <w:ilvl w:val="0"/>
          <w:numId w:val="1044"/>
        </w:numPr>
      </w:pPr>
      <w:r>
        <w:t xml:space="preserve">Goal Self-Assessment:</w:t>
      </w:r>
    </w:p>
    <w:p>
      <w:pPr>
        <w:pStyle w:val="Compact"/>
        <w:numPr>
          <w:ilvl w:val="0"/>
          <w:numId w:val="1044"/>
        </w:numPr>
      </w:pPr>
      <w:r>
        <w:t xml:space="preserve">Self-Assessment Explanation/ Justification:</w:t>
      </w:r>
    </w:p>
    <w:p>
      <w:pPr>
        <w:pStyle w:val="Compact"/>
        <w:numPr>
          <w:ilvl w:val="0"/>
          <w:numId w:val="1044"/>
        </w:numPr>
      </w:pPr>
      <w:r>
        <w:t xml:space="preserve">Recommended Requirement Modification:</w:t>
      </w:r>
    </w:p>
    <w:p>
      <w:r>
        <w:pict>
          <v:rect style="width:0;height:1.5pt" o:hralign="center" o:hrstd="t" o:hr="t"/>
        </w:pict>
      </w:r>
    </w:p>
    <w:bookmarkEnd w:id="147"/>
    <w:bookmarkEnd w:id="148"/>
    <w:bookmarkStart w:id="152" w:name="sec:prd-pixcoco"/>
    <w:p>
      <w:pPr>
        <w:pStyle w:val="berschrift4"/>
      </w:pPr>
      <w:r>
        <w:rPr>
          <w:rStyle w:val="VerbatimChar"/>
        </w:rPr>
        <w:t xml:space="preserve">3.10.</w:t>
      </w:r>
      <w:r>
        <w:t xml:space="preserve"> </w:t>
      </w:r>
      <w:r>
        <w:t xml:space="preserve">Product Pixel Coordinate Convention</w:t>
      </w:r>
    </w:p>
    <w:p>
      <w:pPr>
        <w:pStyle w:val="FirstParagraph"/>
      </w:pPr>
      <w:r>
        <w:t xml:space="preserve">Identifier:</w:t>
      </w:r>
      <w:r>
        <w:t xml:space="preserve"> </w:t>
      </w:r>
      <w:r>
        <w:rPr>
          <w:rStyle w:val="VerbatimChar"/>
        </w:rPr>
        <w:t xml:space="preserve">prd-pixcoco</w:t>
      </w:r>
    </w:p>
    <w:bookmarkStart w:id="149" w:name="threshold-requirements-27"/>
    <w:p>
      <w:pPr>
        <w:pStyle w:val="berschrift5"/>
      </w:pPr>
      <w:r>
        <w:t xml:space="preserve">Threshold requirements:</w:t>
      </w:r>
    </w:p>
    <w:p>
      <w:pPr>
        <w:pStyle w:val="FirstParagraph"/>
      </w:pPr>
      <w:r>
        <w:t xml:space="preserve">Coordinate referring to the centre, the upper left corner, or the lower left corner of a pixel.</w:t>
      </w:r>
      <w:r>
        <w:t xml:space="preserve"> </w:t>
      </w:r>
      <w:r>
        <w:t xml:space="preserve">Values are [pixel centre, pixel ULC or pixel LLC].</w:t>
      </w:r>
    </w:p>
    <w:bookmarkEnd w:id="149"/>
    <w:bookmarkStart w:id="150" w:name="goal-requirements-27"/>
    <w:p>
      <w:pPr>
        <w:pStyle w:val="berschrift5"/>
      </w:pPr>
      <w:r>
        <w:t xml:space="preserve">Goal requirements:</w:t>
      </w:r>
    </w:p>
    <w:p>
      <w:pPr>
        <w:pStyle w:val="FirstParagraph"/>
      </w:pPr>
      <w:r>
        <w:t xml:space="preserve">As threshold.</w:t>
      </w:r>
      <w:r>
        <w:t xml:space="preserve"> </w:t>
      </w:r>
    </w:p>
    <w:bookmarkEnd w:id="150"/>
    <w:bookmarkStart w:id="151" w:name="assessment-27"/>
    <w:p>
      <w:pPr>
        <w:pStyle w:val="berschrift5"/>
      </w:pPr>
      <w:r>
        <w:t xml:space="preserve">Assessment:</w:t>
      </w:r>
    </w:p>
    <w:p>
      <w:pPr>
        <w:pStyle w:val="Compact"/>
        <w:numPr>
          <w:ilvl w:val="0"/>
          <w:numId w:val="1045"/>
        </w:numPr>
      </w:pPr>
      <w:r>
        <w:t xml:space="preserve">Threshold Self-Assessment:</w:t>
      </w:r>
    </w:p>
    <w:p>
      <w:pPr>
        <w:pStyle w:val="Compact"/>
        <w:numPr>
          <w:ilvl w:val="0"/>
          <w:numId w:val="1045"/>
        </w:numPr>
      </w:pPr>
      <w:r>
        <w:t xml:space="preserve">Goal Self-Assessment:</w:t>
      </w:r>
    </w:p>
    <w:p>
      <w:pPr>
        <w:pStyle w:val="Compact"/>
        <w:numPr>
          <w:ilvl w:val="0"/>
          <w:numId w:val="1045"/>
        </w:numPr>
      </w:pPr>
      <w:r>
        <w:t xml:space="preserve">Self-Assessment Explanation/ Justification:</w:t>
      </w:r>
    </w:p>
    <w:p>
      <w:pPr>
        <w:pStyle w:val="Compact"/>
        <w:numPr>
          <w:ilvl w:val="0"/>
          <w:numId w:val="1045"/>
        </w:numPr>
      </w:pPr>
      <w:r>
        <w:t xml:space="preserve">Recommended Requirement Modification:</w:t>
      </w:r>
    </w:p>
    <w:p>
      <w:r>
        <w:pict>
          <v:rect style="width:0;height:1.5pt" o:hralign="center" o:hrstd="t" o:hr="t"/>
        </w:pict>
      </w:r>
    </w:p>
    <w:bookmarkEnd w:id="151"/>
    <w:bookmarkEnd w:id="152"/>
    <w:bookmarkStart w:id="156" w:name="sec:prd-crs-sar"/>
    <w:p>
      <w:pPr>
        <w:pStyle w:val="berschrift4"/>
      </w:pPr>
      <w:r>
        <w:rPr>
          <w:rStyle w:val="VerbatimChar"/>
        </w:rPr>
        <w:t xml:space="preserve">3.11.</w:t>
      </w:r>
      <w:r>
        <w:t xml:space="preserve"> </w:t>
      </w:r>
      <w:r>
        <w:t xml:space="preserve">Product Coordinate Reference System</w:t>
      </w:r>
    </w:p>
    <w:p>
      <w:pPr>
        <w:pStyle w:val="FirstParagraph"/>
      </w:pPr>
      <w:r>
        <w:t xml:space="preserve">Identifier:</w:t>
      </w:r>
      <w:r>
        <w:t xml:space="preserve"> </w:t>
      </w:r>
      <w:r>
        <w:rPr>
          <w:rStyle w:val="VerbatimChar"/>
        </w:rPr>
        <w:t xml:space="preserve">prd-crs-sar</w:t>
      </w:r>
    </w:p>
    <w:bookmarkStart w:id="153" w:name="threshold-requirements-28"/>
    <w:p>
      <w:pPr>
        <w:pStyle w:val="berschrift5"/>
      </w:pPr>
      <w:r>
        <w:t xml:space="preserve">Threshold requirements:</w:t>
      </w:r>
    </w:p>
    <w:p>
      <w:pPr>
        <w:pStyle w:val="FirstParagraph"/>
      </w:pPr>
      <w:r>
        <w:t xml:space="preserve">The metadata lists the map projection (or geographical coordinates, if applicable) that was used and any relevant parameters required to geolocate data in that map projection, expressed in a standardised format (e.g., WKT).</w:t>
      </w:r>
      <w:r>
        <w:br/>
      </w:r>
      <w:r>
        <w:t xml:space="preserve">Indicate EPSG code, if defined for the CRS.</w:t>
      </w:r>
    </w:p>
    <w:bookmarkEnd w:id="153"/>
    <w:bookmarkStart w:id="154" w:name="goal-requirements-28"/>
    <w:p>
      <w:pPr>
        <w:pStyle w:val="berschrift5"/>
      </w:pPr>
      <w:r>
        <w:t xml:space="preserve">Goal requirements:</w:t>
      </w:r>
    </w:p>
    <w:p>
      <w:pPr>
        <w:pStyle w:val="FirstParagraph"/>
      </w:pPr>
      <w:r>
        <w:t xml:space="preserve">As threshold.</w:t>
      </w:r>
      <w:r>
        <w:t xml:space="preserve"> </w:t>
      </w:r>
    </w:p>
    <w:bookmarkEnd w:id="154"/>
    <w:bookmarkStart w:id="155" w:name="assessment-28"/>
    <w:p>
      <w:pPr>
        <w:pStyle w:val="berschrift5"/>
      </w:pPr>
      <w:r>
        <w:t xml:space="preserve">Assessment:</w:t>
      </w:r>
    </w:p>
    <w:p>
      <w:pPr>
        <w:pStyle w:val="Compact"/>
        <w:numPr>
          <w:ilvl w:val="0"/>
          <w:numId w:val="1046"/>
        </w:numPr>
      </w:pPr>
      <w:r>
        <w:t xml:space="preserve">Threshold Self-Assessment:</w:t>
      </w:r>
    </w:p>
    <w:p>
      <w:pPr>
        <w:pStyle w:val="Compact"/>
        <w:numPr>
          <w:ilvl w:val="0"/>
          <w:numId w:val="1046"/>
        </w:numPr>
      </w:pPr>
      <w:r>
        <w:t xml:space="preserve">Goal Self-Assessment:</w:t>
      </w:r>
    </w:p>
    <w:p>
      <w:pPr>
        <w:pStyle w:val="Compact"/>
        <w:numPr>
          <w:ilvl w:val="0"/>
          <w:numId w:val="1046"/>
        </w:numPr>
      </w:pPr>
      <w:r>
        <w:t xml:space="preserve">Self-Assessment Explanation/ Justification:</w:t>
      </w:r>
    </w:p>
    <w:p>
      <w:pPr>
        <w:pStyle w:val="Compact"/>
        <w:numPr>
          <w:ilvl w:val="0"/>
          <w:numId w:val="1046"/>
        </w:numPr>
      </w:pPr>
      <w:r>
        <w:t xml:space="preserve">Recommended Requirement Modification:</w:t>
      </w:r>
    </w:p>
    <w:p>
      <w:r>
        <w:pict>
          <v:rect style="width:0;height:1.5pt" o:hralign="center" o:hrstd="t" o:hr="t"/>
        </w:pict>
      </w:r>
    </w:p>
    <w:bookmarkEnd w:id="155"/>
    <w:bookmarkEnd w:id="156"/>
    <w:bookmarkStart w:id="160" w:name="sec:prd-reorbit-nrb-pol"/>
    <w:p>
      <w:pPr>
        <w:pStyle w:val="berschrift4"/>
      </w:pPr>
      <w:r>
        <w:rPr>
          <w:rStyle w:val="VerbatimChar"/>
        </w:rPr>
        <w:t xml:space="preserve">3.12.</w:t>
      </w:r>
      <w:r>
        <w:t xml:space="preserve"> </w:t>
      </w:r>
      <w:r>
        <w:t xml:space="preserve">Reference Orbit</w:t>
      </w:r>
    </w:p>
    <w:p>
      <w:pPr>
        <w:pStyle w:val="FirstParagraph"/>
      </w:pPr>
      <w:r>
        <w:t xml:space="preserve">Identifier:</w:t>
      </w:r>
      <w:r>
        <w:t xml:space="preserve"> </w:t>
      </w:r>
      <w:r>
        <w:rPr>
          <w:rStyle w:val="VerbatimChar"/>
        </w:rPr>
        <w:t xml:space="preserve">prd-reorbit-nrb-pol</w:t>
      </w:r>
    </w:p>
    <w:p>
      <w:pPr>
        <w:pStyle w:val="Textkrper"/>
      </w:pPr>
      <w:r>
        <w:rPr>
          <w:b/>
          <w:bCs/>
        </w:rPr>
        <w:t xml:space="preserve">Usage: Only when Flattened phase per-pixel metadata (see Section </w:t>
      </w:r>
      <w:r>
        <w:rPr>
          <w:b/>
          <w:bCs/>
        </w:rPr>
        <w:t xml:space="preserve">“</w:t>
      </w:r>
      <w:hyperlink w:anchor="sec:rcm-flapha">
        <w:r>
          <w:rPr>
            <w:rStyle w:val="Hyperlink"/>
            <w:b/>
            <w:bCs/>
          </w:rPr>
          <w:t xml:space="preserve">Radiometrically Corrected Measurements: Flattened Phase</w:t>
        </w:r>
      </w:hyperlink>
      <w:r>
        <w:rPr>
          <w:b/>
          <w:bCs/>
        </w:rPr>
        <w:t xml:space="preserve">”</w:t>
      </w:r>
      <w:r>
        <w:rPr>
          <w:b/>
          <w:bCs/>
        </w:rPr>
        <w:t xml:space="preserve">) is provided.</w:t>
      </w:r>
    </w:p>
    <w:bookmarkStart w:id="157" w:name="threshold-requirements-29"/>
    <w:p>
      <w:pPr>
        <w:pStyle w:val="berschrift5"/>
      </w:pPr>
      <w:r>
        <w:t xml:space="preserve">Threshold requirements:</w:t>
      </w:r>
    </w:p>
    <w:p>
      <w:pPr>
        <w:pStyle w:val="FirstParagraph"/>
      </w:pPr>
      <w:r>
        <w:t xml:space="preserve">Not required.</w:t>
      </w:r>
      <w:r>
        <w:t xml:space="preserve"> </w:t>
      </w:r>
    </w:p>
    <w:bookmarkEnd w:id="157"/>
    <w:bookmarkStart w:id="158" w:name="goal-requirements-29"/>
    <w:p>
      <w:pPr>
        <w:pStyle w:val="berschrift5"/>
      </w:pPr>
      <w:r>
        <w:t xml:space="preserve">Goal requirements:</w:t>
      </w:r>
    </w:p>
    <w:p>
      <w:pPr>
        <w:pStyle w:val="FirstParagraph"/>
      </w:pPr>
      <w:r>
        <w:t xml:space="preserve">Provide the absolute orbit number used as reference for topographic phase flattening.</w:t>
      </w:r>
      <w:r>
        <w:t xml:space="preserve"> </w:t>
      </w:r>
      <w:r>
        <w:t xml:space="preserve">In case a virtual orbit has been used, provide orbit parameters or orbit state vectors as DOI or URL.</w:t>
      </w:r>
    </w:p>
    <w:p>
      <w:pPr>
        <w:pStyle w:val="Textkrper"/>
      </w:pPr>
      <w:r>
        <w:t xml:space="preserve">Provide scene-centred perpendicular baseline for the for the source data relative to the reference orbit used (for approximate use only).</w:t>
      </w:r>
    </w:p>
    <w:bookmarkEnd w:id="158"/>
    <w:bookmarkStart w:id="159" w:name="assessment-29"/>
    <w:p>
      <w:pPr>
        <w:pStyle w:val="berschrift5"/>
      </w:pPr>
      <w:r>
        <w:t xml:space="preserve">Assessment:</w:t>
      </w:r>
    </w:p>
    <w:p>
      <w:pPr>
        <w:pStyle w:val="Compact"/>
        <w:numPr>
          <w:ilvl w:val="0"/>
          <w:numId w:val="1047"/>
        </w:numPr>
      </w:pPr>
      <w:r>
        <w:t xml:space="preserve">Threshold Self-Assessment:</w:t>
      </w:r>
    </w:p>
    <w:p>
      <w:pPr>
        <w:pStyle w:val="Compact"/>
        <w:numPr>
          <w:ilvl w:val="0"/>
          <w:numId w:val="1047"/>
        </w:numPr>
      </w:pPr>
      <w:r>
        <w:t xml:space="preserve">Goal Self-Assessment:</w:t>
      </w:r>
    </w:p>
    <w:p>
      <w:pPr>
        <w:pStyle w:val="Compact"/>
        <w:numPr>
          <w:ilvl w:val="0"/>
          <w:numId w:val="1047"/>
        </w:numPr>
      </w:pPr>
      <w:r>
        <w:t xml:space="preserve">Self-Assessment Explanation/ Justification:</w:t>
      </w:r>
    </w:p>
    <w:p>
      <w:pPr>
        <w:pStyle w:val="Compact"/>
        <w:numPr>
          <w:ilvl w:val="0"/>
          <w:numId w:val="1047"/>
        </w:numPr>
      </w:pPr>
      <w:r>
        <w:t xml:space="preserve">Recommended Requirement Modification:</w:t>
      </w:r>
    </w:p>
    <w:bookmarkEnd w:id="159"/>
    <w:bookmarkEnd w:id="160"/>
    <w:bookmarkEnd w:id="161"/>
    <w:bookmarkStart w:id="202" w:name="sec:pxl"/>
    <w:p>
      <w:pPr>
        <w:pStyle w:val="berschrift3"/>
      </w:pPr>
      <w:r>
        <w:rPr>
          <w:rStyle w:val="VerbatimChar"/>
        </w:rPr>
        <w:t xml:space="preserve">4.</w:t>
      </w:r>
      <w:r>
        <w:t xml:space="preserve"> </w:t>
      </w:r>
      <w:r>
        <w:t xml:space="preserve">Per-Pixel Metadata</w:t>
      </w:r>
    </w:p>
    <w:p>
      <w:pPr>
        <w:pStyle w:val="FirstParagraph"/>
      </w:pPr>
      <w:r>
        <w:t xml:space="preserve">The following minimum metadata specifications apply to each pixel.</w:t>
      </w:r>
      <w:r>
        <w:t xml:space="preserve"> </w:t>
      </w:r>
      <w:r>
        <w:t xml:space="preserve">Whether the metadata is provided in a single record relevant to all pixels, or separately for each pixel, is at the discretion of the data provider.</w:t>
      </w:r>
      <w:r>
        <w:t xml:space="preserve"> </w:t>
      </w:r>
      <w:r>
        <w:t xml:space="preserve">Per-pixel metadata should allow users to</w:t>
      </w:r>
      <w:r>
        <w:t xml:space="preserve"> </w:t>
      </w:r>
      <w:r>
        <w:rPr>
          <w:b/>
          <w:bCs/>
        </w:rPr>
        <w:t xml:space="preserve">discriminate between</w:t>
      </w:r>
      <w:r>
        <w:t xml:space="preserve"> </w:t>
      </w:r>
      <w:r>
        <w:t xml:space="preserve">(choose) observations on the basis of their individual suitability for application.</w:t>
      </w:r>
    </w:p>
    <w:bookmarkStart w:id="165" w:name="sec:pxl-cngform"/>
    <w:p>
      <w:pPr>
        <w:pStyle w:val="berschrift4"/>
      </w:pPr>
      <w:r>
        <w:rPr>
          <w:rStyle w:val="VerbatimChar"/>
        </w:rPr>
        <w:t xml:space="preserve">4.1.</w:t>
      </w:r>
      <w:r>
        <w:t xml:space="preserve"> </w:t>
      </w:r>
      <w:r>
        <w:t xml:space="preserve">Cloud Optimized Formats</w:t>
      </w:r>
    </w:p>
    <w:p>
      <w:pPr>
        <w:pStyle w:val="FirstParagraph"/>
      </w:pPr>
      <w:r>
        <w:t xml:space="preserve">Identifier:</w:t>
      </w:r>
      <w:r>
        <w:t xml:space="preserve"> </w:t>
      </w:r>
      <w:r>
        <w:rPr>
          <w:rStyle w:val="VerbatimChar"/>
        </w:rPr>
        <w:t xml:space="preserve">pxl-cngform</w:t>
      </w:r>
    </w:p>
    <w:bookmarkStart w:id="162" w:name="threshold-requirements-30"/>
    <w:p>
      <w:pPr>
        <w:pStyle w:val="berschrift5"/>
      </w:pPr>
      <w:r>
        <w:t xml:space="preserve">Threshold requirements:</w:t>
      </w:r>
    </w:p>
    <w:p>
      <w:pPr>
        <w:pStyle w:val="FirstParagraph"/>
      </w:pPr>
      <w:r>
        <w:t xml:space="preserve">Not required.</w:t>
      </w:r>
      <w:r>
        <w:t xml:space="preserve"> </w:t>
      </w:r>
    </w:p>
    <w:bookmarkEnd w:id="162"/>
    <w:bookmarkStart w:id="163" w:name="goal-requirements-30"/>
    <w:p>
      <w:pPr>
        <w:pStyle w:val="berschrift5"/>
      </w:pPr>
      <w:r>
        <w:t xml:space="preserve">Goal requirements:</w:t>
      </w:r>
    </w:p>
    <w:p>
      <w:pPr>
        <w:pStyle w:val="FirstParagraph"/>
      </w:pPr>
      <w:r>
        <w:t xml:space="preserve">All files are provided using cloud-optimized file formats.</w:t>
      </w:r>
    </w:p>
    <w:bookmarkEnd w:id="163"/>
    <w:bookmarkStart w:id="164" w:name="assessment-30"/>
    <w:p>
      <w:pPr>
        <w:pStyle w:val="berschrift5"/>
      </w:pPr>
      <w:r>
        <w:t xml:space="preserve">Assessment:</w:t>
      </w:r>
    </w:p>
    <w:p>
      <w:pPr>
        <w:pStyle w:val="Compact"/>
        <w:numPr>
          <w:ilvl w:val="0"/>
          <w:numId w:val="1048"/>
        </w:numPr>
      </w:pPr>
      <w:r>
        <w:t xml:space="preserve">Threshold Self-Assessment:</w:t>
      </w:r>
    </w:p>
    <w:p>
      <w:pPr>
        <w:pStyle w:val="Compact"/>
        <w:numPr>
          <w:ilvl w:val="0"/>
          <w:numId w:val="1048"/>
        </w:numPr>
      </w:pPr>
      <w:r>
        <w:t xml:space="preserve">Goal Self-Assessment:</w:t>
      </w:r>
    </w:p>
    <w:p>
      <w:pPr>
        <w:pStyle w:val="Compact"/>
        <w:numPr>
          <w:ilvl w:val="0"/>
          <w:numId w:val="1048"/>
        </w:numPr>
      </w:pPr>
      <w:r>
        <w:t xml:space="preserve">Self-Assessment Explanation/ Justification:</w:t>
      </w:r>
    </w:p>
    <w:p>
      <w:pPr>
        <w:pStyle w:val="Compact"/>
        <w:numPr>
          <w:ilvl w:val="0"/>
          <w:numId w:val="1048"/>
        </w:numPr>
      </w:pPr>
      <w:r>
        <w:t xml:space="preserve">Recommended Requirement Modification:</w:t>
      </w:r>
    </w:p>
    <w:p>
      <w:r>
        <w:pict>
          <v:rect style="width:0;height:1.5pt" o:hralign="center" o:hrstd="t" o:hr="t"/>
        </w:pict>
      </w:r>
    </w:p>
    <w:bookmarkEnd w:id="164"/>
    <w:bookmarkEnd w:id="165"/>
    <w:bookmarkStart w:id="169" w:name="sec:pxl-memare-sar"/>
    <w:p>
      <w:pPr>
        <w:pStyle w:val="berschrift4"/>
      </w:pPr>
      <w:r>
        <w:rPr>
          <w:rStyle w:val="VerbatimChar"/>
        </w:rPr>
        <w:t xml:space="preserve">4.2.</w:t>
      </w:r>
      <w:r>
        <w:t xml:space="preserve"> </w:t>
      </w:r>
      <w:r>
        <w:t xml:space="preserve">Metadata Machine Readability</w:t>
      </w:r>
    </w:p>
    <w:p>
      <w:pPr>
        <w:pStyle w:val="FirstParagraph"/>
      </w:pPr>
      <w:r>
        <w:t xml:space="preserve">Identifier:</w:t>
      </w:r>
      <w:r>
        <w:t xml:space="preserve"> </w:t>
      </w:r>
      <w:r>
        <w:rPr>
          <w:rStyle w:val="VerbatimChar"/>
        </w:rPr>
        <w:t xml:space="preserve">pxl-memare-sar</w:t>
      </w:r>
    </w:p>
    <w:bookmarkStart w:id="166" w:name="threshold-requirements-31"/>
    <w:p>
      <w:pPr>
        <w:pStyle w:val="berschrift5"/>
      </w:pPr>
      <w:r>
        <w:t xml:space="preserve">Threshold requirements:</w:t>
      </w:r>
    </w:p>
    <w:p>
      <w:pPr>
        <w:pStyle w:val="FirstParagraph"/>
      </w:pPr>
      <w:r>
        <w:t xml:space="preserve">Metadata is provided in a structure that enables a computer algorithm to be used to consistently and automatically identify and extract each component/variable/layer for further use.</w:t>
      </w:r>
    </w:p>
    <w:bookmarkEnd w:id="166"/>
    <w:bookmarkStart w:id="167" w:name="goal-requirements-31"/>
    <w:p>
      <w:pPr>
        <w:pStyle w:val="berschrift5"/>
      </w:pPr>
      <w:r>
        <w:t xml:space="preserve">Goal requirements:</w:t>
      </w:r>
    </w:p>
    <w:p>
      <w:pPr>
        <w:pStyle w:val="FirstParagraph"/>
      </w:pPr>
      <w:r>
        <w:t xml:space="preserve">As threshold, but metadata is formatted in accordance with CEOS-ARD SAR Metadata Specifications, v.1.1, or in a community endorsed standard that facilitates machine-readability, such as ISO 19115-2, Climate and Forecast (CF) convention, the Attribute Convention for Data Discovery (ACDD), etc.</w:t>
      </w:r>
    </w:p>
    <w:bookmarkEnd w:id="167"/>
    <w:bookmarkStart w:id="168" w:name="assessment-31"/>
    <w:p>
      <w:pPr>
        <w:pStyle w:val="berschrift5"/>
      </w:pPr>
      <w:r>
        <w:t xml:space="preserve">Assessment:</w:t>
      </w:r>
    </w:p>
    <w:p>
      <w:pPr>
        <w:pStyle w:val="Compact"/>
        <w:numPr>
          <w:ilvl w:val="0"/>
          <w:numId w:val="1049"/>
        </w:numPr>
      </w:pPr>
      <w:r>
        <w:t xml:space="preserve">Threshold Self-Assessment:</w:t>
      </w:r>
    </w:p>
    <w:p>
      <w:pPr>
        <w:pStyle w:val="Compact"/>
        <w:numPr>
          <w:ilvl w:val="0"/>
          <w:numId w:val="1049"/>
        </w:numPr>
      </w:pPr>
      <w:r>
        <w:t xml:space="preserve">Goal Self-Assessment:</w:t>
      </w:r>
    </w:p>
    <w:p>
      <w:pPr>
        <w:pStyle w:val="Compact"/>
        <w:numPr>
          <w:ilvl w:val="0"/>
          <w:numId w:val="1049"/>
        </w:numPr>
      </w:pPr>
      <w:r>
        <w:t xml:space="preserve">Self-Assessment Explanation/ Justification:</w:t>
      </w:r>
    </w:p>
    <w:p>
      <w:pPr>
        <w:pStyle w:val="Compact"/>
        <w:numPr>
          <w:ilvl w:val="0"/>
          <w:numId w:val="1049"/>
        </w:numPr>
      </w:pPr>
      <w:r>
        <w:t xml:space="preserve">Recommended Requirement Modification:</w:t>
      </w:r>
    </w:p>
    <w:p>
      <w:r>
        <w:pict>
          <v:rect style="width:0;height:1.5pt" o:hralign="center" o:hrstd="t" o:hr="t"/>
        </w:pict>
      </w:r>
    </w:p>
    <w:bookmarkEnd w:id="168"/>
    <w:bookmarkEnd w:id="169"/>
    <w:bookmarkStart w:id="173" w:name="sec:pxl-damaski"/>
    <w:p>
      <w:pPr>
        <w:pStyle w:val="berschrift4"/>
      </w:pPr>
      <w:r>
        <w:rPr>
          <w:rStyle w:val="VerbatimChar"/>
        </w:rPr>
        <w:t xml:space="preserve">4.3.</w:t>
      </w:r>
      <w:r>
        <w:t xml:space="preserve"> </w:t>
      </w:r>
      <w:r>
        <w:t xml:space="preserve">Data Mask Image</w:t>
      </w:r>
    </w:p>
    <w:p>
      <w:pPr>
        <w:pStyle w:val="FirstParagraph"/>
      </w:pPr>
      <w:r>
        <w:t xml:space="preserve">Identifier:</w:t>
      </w:r>
      <w:r>
        <w:t xml:space="preserve"> </w:t>
      </w:r>
      <w:r>
        <w:rPr>
          <w:rStyle w:val="VerbatimChar"/>
        </w:rPr>
        <w:t xml:space="preserve">pxl-damaski</w:t>
      </w:r>
    </w:p>
    <w:bookmarkStart w:id="170" w:name="threshold-requirements-32"/>
    <w:p>
      <w:pPr>
        <w:pStyle w:val="berschrift5"/>
      </w:pPr>
      <w:r>
        <w:t xml:space="preserve">Threshold requirements:</w:t>
      </w:r>
    </w:p>
    <w:p>
      <w:pPr>
        <w:pStyle w:val="FirstParagraph"/>
      </w:pPr>
      <w:r>
        <w:t xml:space="preserve">Mask image indicating:</w:t>
      </w:r>
    </w:p>
    <w:p>
      <w:pPr>
        <w:pStyle w:val="Compact"/>
        <w:numPr>
          <w:ilvl w:val="0"/>
          <w:numId w:val="1050"/>
        </w:numPr>
      </w:pPr>
      <w:r>
        <w:t xml:space="preserve">Valid data</w:t>
      </w:r>
    </w:p>
    <w:p>
      <w:pPr>
        <w:pStyle w:val="Compact"/>
        <w:numPr>
          <w:ilvl w:val="0"/>
          <w:numId w:val="1050"/>
        </w:numPr>
      </w:pPr>
      <w:r>
        <w:t xml:space="preserve">Invalid data</w:t>
      </w:r>
    </w:p>
    <w:p>
      <w:pPr>
        <w:pStyle w:val="Compact"/>
        <w:numPr>
          <w:ilvl w:val="0"/>
          <w:numId w:val="1050"/>
        </w:numPr>
      </w:pPr>
      <w:r>
        <w:t xml:space="preserve">No data</w:t>
      </w:r>
    </w:p>
    <w:p>
      <w:pPr>
        <w:pStyle w:val="FirstParagraph"/>
      </w:pPr>
      <w:r>
        <w:t xml:space="preserve">File format specifications/contents provided in metadata:</w:t>
      </w:r>
    </w:p>
    <w:p>
      <w:pPr>
        <w:pStyle w:val="Compact"/>
        <w:numPr>
          <w:ilvl w:val="0"/>
          <w:numId w:val="1051"/>
        </w:numPr>
      </w:pPr>
      <w:r>
        <w:t xml:space="preserve">Sample Type (Mask)</w:t>
      </w:r>
    </w:p>
    <w:p>
      <w:pPr>
        <w:pStyle w:val="Compact"/>
        <w:numPr>
          <w:ilvl w:val="0"/>
          <w:numId w:val="1051"/>
        </w:numPr>
      </w:pPr>
      <w:r>
        <w:t xml:space="preserve">Data Format (GeoTIFF, HDF5, NetCDF, …)</w:t>
      </w:r>
    </w:p>
    <w:p>
      <w:pPr>
        <w:pStyle w:val="Compact"/>
        <w:numPr>
          <w:ilvl w:val="0"/>
          <w:numId w:val="1051"/>
        </w:numPr>
      </w:pPr>
      <w:r>
        <w:t xml:space="preserve">Data Type (Int, …)</w:t>
      </w:r>
    </w:p>
    <w:p>
      <w:pPr>
        <w:pStyle w:val="Compact"/>
        <w:numPr>
          <w:ilvl w:val="0"/>
          <w:numId w:val="1051"/>
        </w:numPr>
      </w:pPr>
      <w:r>
        <w:t xml:space="preserve">Bits per Sample</w:t>
      </w:r>
    </w:p>
    <w:p>
      <w:pPr>
        <w:pStyle w:val="Compact"/>
        <w:numPr>
          <w:ilvl w:val="0"/>
          <w:numId w:val="1051"/>
        </w:numPr>
      </w:pPr>
      <w:r>
        <w:t xml:space="preserve">Byte Order</w:t>
      </w:r>
    </w:p>
    <w:p>
      <w:pPr>
        <w:pStyle w:val="Compact"/>
        <w:numPr>
          <w:ilvl w:val="0"/>
          <w:numId w:val="1051"/>
        </w:numPr>
      </w:pPr>
      <w:r>
        <w:t xml:space="preserve">Bit Value Representation</w:t>
      </w:r>
    </w:p>
    <w:bookmarkEnd w:id="170"/>
    <w:bookmarkStart w:id="171" w:name="goal-requirements-32"/>
    <w:p>
      <w:pPr>
        <w:pStyle w:val="berschrift5"/>
      </w:pPr>
      <w:r>
        <w:t xml:space="preserve">Goal requirements:</w:t>
      </w:r>
    </w:p>
    <w:p>
      <w:pPr>
        <w:pStyle w:val="FirstParagraph"/>
      </w:pPr>
      <w:r>
        <w:t xml:space="preserve">As threshold, including additional bit value representations, e.g.:</w:t>
      </w:r>
    </w:p>
    <w:p>
      <w:pPr>
        <w:pStyle w:val="Compact"/>
        <w:numPr>
          <w:ilvl w:val="0"/>
          <w:numId w:val="1052"/>
        </w:numPr>
      </w:pPr>
      <w:r>
        <w:t xml:space="preserve">Layover (masked as invalid data in threshold)</w:t>
      </w:r>
    </w:p>
    <w:p>
      <w:pPr>
        <w:pStyle w:val="Compact"/>
        <w:numPr>
          <w:ilvl w:val="0"/>
          <w:numId w:val="1052"/>
        </w:numPr>
      </w:pPr>
      <w:r>
        <w:t xml:space="preserve">Radar shadow (masked as invalid data in threshold)</w:t>
      </w:r>
    </w:p>
    <w:p>
      <w:pPr>
        <w:pStyle w:val="Compact"/>
        <w:numPr>
          <w:ilvl w:val="0"/>
          <w:numId w:val="1052"/>
        </w:numPr>
      </w:pPr>
      <w:r>
        <w:t xml:space="preserve">Ocean water</w:t>
      </w:r>
    </w:p>
    <w:p>
      <w:pPr>
        <w:pStyle w:val="Compact"/>
        <w:numPr>
          <w:ilvl w:val="0"/>
          <w:numId w:val="1052"/>
        </w:numPr>
      </w:pPr>
      <w:r>
        <w:t xml:space="preserve">Land (recommended for ORB)</w:t>
      </w:r>
    </w:p>
    <w:p>
      <w:pPr>
        <w:pStyle w:val="Compact"/>
        <w:numPr>
          <w:ilvl w:val="0"/>
          <w:numId w:val="1052"/>
        </w:numPr>
      </w:pPr>
      <w:r>
        <w:t xml:space="preserve">RTC applied (e.g., for maritime scenes with land samples for which RTC has been applied)</w:t>
      </w:r>
    </w:p>
    <w:p>
      <w:pPr>
        <w:pStyle w:val="Compact"/>
        <w:numPr>
          <w:ilvl w:val="0"/>
          <w:numId w:val="1052"/>
        </w:numPr>
      </w:pPr>
      <w:r>
        <w:t xml:space="preserve">DEM gap filling (i.e., interpolated DEM over gaps)</w:t>
      </w:r>
    </w:p>
    <w:bookmarkEnd w:id="171"/>
    <w:bookmarkStart w:id="172" w:name="assessment-32"/>
    <w:p>
      <w:pPr>
        <w:pStyle w:val="berschrift5"/>
      </w:pPr>
      <w:r>
        <w:t xml:space="preserve">Assessment:</w:t>
      </w:r>
    </w:p>
    <w:p>
      <w:pPr>
        <w:pStyle w:val="Compact"/>
        <w:numPr>
          <w:ilvl w:val="0"/>
          <w:numId w:val="1053"/>
        </w:numPr>
      </w:pPr>
      <w:r>
        <w:t xml:space="preserve">Threshold Self-Assessment:</w:t>
      </w:r>
    </w:p>
    <w:p>
      <w:pPr>
        <w:pStyle w:val="Compact"/>
        <w:numPr>
          <w:ilvl w:val="0"/>
          <w:numId w:val="1053"/>
        </w:numPr>
      </w:pPr>
      <w:r>
        <w:t xml:space="preserve">Goal Self-Assessment:</w:t>
      </w:r>
    </w:p>
    <w:p>
      <w:pPr>
        <w:pStyle w:val="Compact"/>
        <w:numPr>
          <w:ilvl w:val="0"/>
          <w:numId w:val="1053"/>
        </w:numPr>
      </w:pPr>
      <w:r>
        <w:t xml:space="preserve">Self-Assessment Explanation/ Justification:</w:t>
      </w:r>
    </w:p>
    <w:p>
      <w:pPr>
        <w:pStyle w:val="Compact"/>
        <w:numPr>
          <w:ilvl w:val="0"/>
          <w:numId w:val="1053"/>
        </w:numPr>
      </w:pPr>
      <w:r>
        <w:t xml:space="preserve">Recommended Requirement Modification:</w:t>
      </w:r>
    </w:p>
    <w:p>
      <w:r>
        <w:pict>
          <v:rect style="width:0;height:1.5pt" o:hralign="center" o:hrstd="t" o:hr="t"/>
        </w:pict>
      </w:r>
    </w:p>
    <w:bookmarkEnd w:id="172"/>
    <w:bookmarkEnd w:id="173"/>
    <w:bookmarkStart w:id="177" w:name="sec:pxl-piscata"/>
    <w:p>
      <w:pPr>
        <w:pStyle w:val="berschrift4"/>
      </w:pPr>
      <w:r>
        <w:rPr>
          <w:rStyle w:val="VerbatimChar"/>
        </w:rPr>
        <w:t xml:space="preserve">4.4.</w:t>
      </w:r>
      <w:r>
        <w:t xml:space="preserve"> </w:t>
      </w:r>
      <w:r>
        <w:t xml:space="preserve">Scattering Area Image</w:t>
      </w:r>
    </w:p>
    <w:p>
      <w:pPr>
        <w:pStyle w:val="FirstParagraph"/>
      </w:pPr>
      <w:r>
        <w:t xml:space="preserve">Identifier:</w:t>
      </w:r>
      <w:r>
        <w:t xml:space="preserve"> </w:t>
      </w:r>
      <w:r>
        <w:rPr>
          <w:rStyle w:val="VerbatimChar"/>
        </w:rPr>
        <w:t xml:space="preserve">pxl-piscata</w:t>
      </w:r>
    </w:p>
    <w:p>
      <w:pPr>
        <w:pStyle w:val="Textkrper"/>
      </w:pPr>
      <w:r>
        <w:rPr>
          <w:b/>
          <w:bCs/>
        </w:rPr>
        <w:t xml:space="preserve">Usage: Recommended for scenes that include land areas.</w:t>
      </w:r>
    </w:p>
    <w:bookmarkStart w:id="174" w:name="threshold-requirements-33"/>
    <w:p>
      <w:pPr>
        <w:pStyle w:val="berschrift5"/>
      </w:pPr>
      <w:r>
        <w:t xml:space="preserve">Threshold requirements:</w:t>
      </w:r>
    </w:p>
    <w:p>
      <w:pPr>
        <w:pStyle w:val="FirstParagraph"/>
      </w:pPr>
      <w:r>
        <w:t xml:space="preserve">Not required.</w:t>
      </w:r>
      <w:r>
        <w:t xml:space="preserve"> </w:t>
      </w:r>
    </w:p>
    <w:bookmarkEnd w:id="174"/>
    <w:bookmarkStart w:id="175" w:name="goal-requirements-33"/>
    <w:p>
      <w:pPr>
        <w:pStyle w:val="berschrift5"/>
      </w:pPr>
      <w:r>
        <w:t xml:space="preserve">Goal requirements:</w:t>
      </w:r>
    </w:p>
    <w:p>
      <w:pPr>
        <w:pStyle w:val="FirstParagraph"/>
      </w:pPr>
      <w:r>
        <w:t xml:space="preserve">DEM-based scattering area image used for Gamma-Nought terrain normalisation is provided.</w:t>
      </w:r>
      <w:r>
        <w:t xml:space="preserve"> </w:t>
      </w:r>
      <w:r>
        <w:t xml:space="preserve">This quantifies the local scattering area used to normalise for radiometric distortions induced by terrain to the measured</w:t>
      </w:r>
      <w:r>
        <w:t xml:space="preserve"> </w:t>
      </w:r>
      <m:oMath>
        <m:sSup>
          <m:e>
            <m:r>
              <m:t>β</m:t>
            </m:r>
          </m:e>
          <m:sup>
            <m:r>
              <m:t>0</m:t>
            </m:r>
          </m:sup>
        </m:sSup>
      </m:oMath>
      <w:r>
        <w:t xml:space="preserve"> </w:t>
      </w:r>
      <w:r>
        <w:t xml:space="preserve">backscatter.</w:t>
      </w:r>
      <w:r>
        <w:t xml:space="preserve"> </w:t>
      </w:r>
      <w:r>
        <w:t xml:space="preserve">The terrain-flattened</w:t>
      </w:r>
      <w:r>
        <w:t xml:space="preserve"> </w:t>
      </w:r>
      <m:oMath>
        <m:sSubSup>
          <m:e>
            <m:r>
              <m:t>γ</m:t>
            </m:r>
          </m:e>
          <m:sub>
            <m:r>
              <m:t>T</m:t>
            </m:r>
          </m:sub>
          <m:sup>
            <m:r>
              <m:t>0</m:t>
            </m:r>
          </m:sup>
        </m:sSubSup>
      </m:oMath>
      <w:r>
        <w:t xml:space="preserve"> </w:t>
      </w:r>
      <w:r>
        <w:t xml:space="preserve">is best understood as</w:t>
      </w:r>
      <w:r>
        <w:t xml:space="preserve"> </w:t>
      </w:r>
      <m:oMath>
        <m:sSup>
          <m:e>
            <m:r>
              <m:t>β</m:t>
            </m:r>
          </m:e>
          <m:sup>
            <m:r>
              <m:t>0</m:t>
            </m:r>
          </m:sup>
        </m:sSup>
      </m:oMath>
      <w:r>
        <w:t xml:space="preserve"> </w:t>
      </w:r>
      <w:r>
        <w:t xml:space="preserve">divided by the local scattering area.</w:t>
      </w:r>
    </w:p>
    <w:p>
      <w:pPr>
        <w:pStyle w:val="Textkrper"/>
      </w:pPr>
      <w:r>
        <w:t xml:space="preserve">File format specifications/contents provided in metadata:</w:t>
      </w:r>
    </w:p>
    <w:p>
      <w:pPr>
        <w:pStyle w:val="Compact"/>
        <w:numPr>
          <w:ilvl w:val="0"/>
          <w:numId w:val="1054"/>
        </w:numPr>
      </w:pPr>
      <w:r>
        <w:t xml:space="preserve">Sample Type (Scattering Area)</w:t>
      </w:r>
    </w:p>
    <w:p>
      <w:pPr>
        <w:pStyle w:val="Compact"/>
        <w:numPr>
          <w:ilvl w:val="0"/>
          <w:numId w:val="1054"/>
        </w:numPr>
      </w:pPr>
      <w:r>
        <w:t xml:space="preserve">Data Format (GeoTIFF, HDF5, NetCDF, …)</w:t>
      </w:r>
    </w:p>
    <w:p>
      <w:pPr>
        <w:pStyle w:val="Compact"/>
        <w:numPr>
          <w:ilvl w:val="0"/>
          <w:numId w:val="1054"/>
        </w:numPr>
      </w:pPr>
      <w:r>
        <w:t xml:space="preserve">Data Type (Int, Float, …)</w:t>
      </w:r>
    </w:p>
    <w:p>
      <w:pPr>
        <w:pStyle w:val="Compact"/>
        <w:numPr>
          <w:ilvl w:val="0"/>
          <w:numId w:val="1054"/>
        </w:numPr>
      </w:pPr>
      <w:r>
        <w:t xml:space="preserve">Bits per Sample</w:t>
      </w:r>
    </w:p>
    <w:p>
      <w:pPr>
        <w:pStyle w:val="Compact"/>
        <w:numPr>
          <w:ilvl w:val="0"/>
          <w:numId w:val="1054"/>
        </w:numPr>
      </w:pPr>
      <w:r>
        <w:t xml:space="preserve">Byte Order</w:t>
      </w:r>
    </w:p>
    <w:bookmarkEnd w:id="175"/>
    <w:bookmarkStart w:id="176" w:name="assessment-33"/>
    <w:p>
      <w:pPr>
        <w:pStyle w:val="berschrift5"/>
      </w:pPr>
      <w:r>
        <w:t xml:space="preserve">Assessment:</w:t>
      </w:r>
    </w:p>
    <w:p>
      <w:pPr>
        <w:pStyle w:val="Compact"/>
        <w:numPr>
          <w:ilvl w:val="0"/>
          <w:numId w:val="1055"/>
        </w:numPr>
      </w:pPr>
      <w:r>
        <w:t xml:space="preserve">Threshold Self-Assessment:</w:t>
      </w:r>
    </w:p>
    <w:p>
      <w:pPr>
        <w:pStyle w:val="Compact"/>
        <w:numPr>
          <w:ilvl w:val="0"/>
          <w:numId w:val="1055"/>
        </w:numPr>
      </w:pPr>
      <w:r>
        <w:t xml:space="preserve">Goal Self-Assessment:</w:t>
      </w:r>
    </w:p>
    <w:p>
      <w:pPr>
        <w:pStyle w:val="Compact"/>
        <w:numPr>
          <w:ilvl w:val="0"/>
          <w:numId w:val="1055"/>
        </w:numPr>
      </w:pPr>
      <w:r>
        <w:t xml:space="preserve">Self-Assessment Explanation/ Justification:</w:t>
      </w:r>
    </w:p>
    <w:p>
      <w:pPr>
        <w:pStyle w:val="Compact"/>
        <w:numPr>
          <w:ilvl w:val="0"/>
          <w:numId w:val="1055"/>
        </w:numPr>
      </w:pPr>
      <w:r>
        <w:t xml:space="preserve">Recommended Requirement Modification:</w:t>
      </w:r>
    </w:p>
    <w:p>
      <w:r>
        <w:pict>
          <v:rect style="width:0;height:1.5pt" o:hralign="center" o:hrstd="t" o:hr="t"/>
        </w:pict>
      </w:r>
    </w:p>
    <w:bookmarkEnd w:id="176"/>
    <w:bookmarkEnd w:id="177"/>
    <w:bookmarkStart w:id="181" w:name="sec:pxl-ploinca"/>
    <w:p>
      <w:pPr>
        <w:pStyle w:val="berschrift4"/>
      </w:pPr>
      <w:r>
        <w:rPr>
          <w:rStyle w:val="VerbatimChar"/>
        </w:rPr>
        <w:t xml:space="preserve">4.5.</w:t>
      </w:r>
      <w:r>
        <w:t xml:space="preserve"> </w:t>
      </w:r>
      <w:r>
        <w:t xml:space="preserve">Local Incident Angle Image</w:t>
      </w:r>
    </w:p>
    <w:p>
      <w:pPr>
        <w:pStyle w:val="FirstParagraph"/>
      </w:pPr>
      <w:r>
        <w:t xml:space="preserve">Identifier:</w:t>
      </w:r>
      <w:r>
        <w:t xml:space="preserve"> </w:t>
      </w:r>
      <w:r>
        <w:rPr>
          <w:rStyle w:val="VerbatimChar"/>
        </w:rPr>
        <w:t xml:space="preserve">pxl-ploinca</w:t>
      </w:r>
    </w:p>
    <w:bookmarkStart w:id="178" w:name="threshold-requirements-34"/>
    <w:p>
      <w:pPr>
        <w:pStyle w:val="berschrift5"/>
      </w:pPr>
      <w:r>
        <w:t xml:space="preserve">Threshold requirements:</w:t>
      </w:r>
    </w:p>
    <w:p>
      <w:pPr>
        <w:pStyle w:val="FirstParagraph"/>
      </w:pPr>
      <w:r>
        <w:t xml:space="preserve">DEM-based Local Incident angle image is provided.</w:t>
      </w:r>
    </w:p>
    <w:p>
      <w:pPr>
        <w:pStyle w:val="Textkrper"/>
      </w:pPr>
      <w:r>
        <w:t xml:space="preserve">File format specifications/contents provided in metadata:</w:t>
      </w:r>
    </w:p>
    <w:p>
      <w:pPr>
        <w:pStyle w:val="Compact"/>
        <w:numPr>
          <w:ilvl w:val="0"/>
          <w:numId w:val="1056"/>
        </w:numPr>
      </w:pPr>
      <w:r>
        <w:t xml:space="preserve">Sample Type (Angle)</w:t>
      </w:r>
    </w:p>
    <w:p>
      <w:pPr>
        <w:pStyle w:val="Compact"/>
        <w:numPr>
          <w:ilvl w:val="0"/>
          <w:numId w:val="1056"/>
        </w:numPr>
      </w:pPr>
      <w:r>
        <w:t xml:space="preserve">Data Format (GeoTIFF, HDF5, NetCDF, …)</w:t>
      </w:r>
    </w:p>
    <w:p>
      <w:pPr>
        <w:pStyle w:val="Compact"/>
        <w:numPr>
          <w:ilvl w:val="0"/>
          <w:numId w:val="1056"/>
        </w:numPr>
      </w:pPr>
      <w:r>
        <w:t xml:space="preserve">Data Type (Int, Float, …)</w:t>
      </w:r>
    </w:p>
    <w:p>
      <w:pPr>
        <w:pStyle w:val="Compact"/>
        <w:numPr>
          <w:ilvl w:val="0"/>
          <w:numId w:val="1056"/>
        </w:numPr>
      </w:pPr>
      <w:r>
        <w:t xml:space="preserve">Bits per Sample</w:t>
      </w:r>
    </w:p>
    <w:p>
      <w:pPr>
        <w:pStyle w:val="Compact"/>
        <w:numPr>
          <w:ilvl w:val="0"/>
          <w:numId w:val="1056"/>
        </w:numPr>
      </w:pPr>
      <w:r>
        <w:t xml:space="preserve">Byte Order</w:t>
      </w:r>
    </w:p>
    <w:p>
      <w:pPr>
        <w:pStyle w:val="FirstParagraph"/>
      </w:pPr>
      <w:r>
        <w:t xml:space="preserve">Note:</w:t>
      </w:r>
    </w:p>
    <w:p>
      <w:pPr>
        <w:pStyle w:val="Compact"/>
        <w:numPr>
          <w:ilvl w:val="0"/>
          <w:numId w:val="1057"/>
        </w:numPr>
      </w:pPr>
      <w:r>
        <w:t xml:space="preserve">For maritime ORB scenes when no land areas are covered, a geoid model could be used for the calculation of the local incident angle.</w:t>
      </w:r>
    </w:p>
    <w:bookmarkEnd w:id="178"/>
    <w:bookmarkStart w:id="179" w:name="goal-requirements-34"/>
    <w:p>
      <w:pPr>
        <w:pStyle w:val="berschrift5"/>
      </w:pPr>
      <w:r>
        <w:t xml:space="preserve">Goal requirements:</w:t>
      </w:r>
    </w:p>
    <w:p>
      <w:pPr>
        <w:pStyle w:val="FirstParagraph"/>
      </w:pPr>
      <w:r>
        <w:t xml:space="preserve">As threshold.</w:t>
      </w:r>
      <w:r>
        <w:t xml:space="preserve"> </w:t>
      </w:r>
    </w:p>
    <w:bookmarkEnd w:id="179"/>
    <w:bookmarkStart w:id="180" w:name="assessment-34"/>
    <w:p>
      <w:pPr>
        <w:pStyle w:val="berschrift5"/>
      </w:pPr>
      <w:r>
        <w:t xml:space="preserve">Assessment:</w:t>
      </w:r>
    </w:p>
    <w:p>
      <w:pPr>
        <w:pStyle w:val="Compact"/>
        <w:numPr>
          <w:ilvl w:val="0"/>
          <w:numId w:val="1058"/>
        </w:numPr>
      </w:pPr>
      <w:r>
        <w:t xml:space="preserve">Threshold Self-Assessment:</w:t>
      </w:r>
    </w:p>
    <w:p>
      <w:pPr>
        <w:pStyle w:val="Compact"/>
        <w:numPr>
          <w:ilvl w:val="0"/>
          <w:numId w:val="1058"/>
        </w:numPr>
      </w:pPr>
      <w:r>
        <w:t xml:space="preserve">Goal Self-Assessment:</w:t>
      </w:r>
    </w:p>
    <w:p>
      <w:pPr>
        <w:pStyle w:val="Compact"/>
        <w:numPr>
          <w:ilvl w:val="0"/>
          <w:numId w:val="1058"/>
        </w:numPr>
      </w:pPr>
      <w:r>
        <w:t xml:space="preserve">Self-Assessment Explanation/ Justification:</w:t>
      </w:r>
    </w:p>
    <w:p>
      <w:pPr>
        <w:pStyle w:val="Compact"/>
        <w:numPr>
          <w:ilvl w:val="0"/>
          <w:numId w:val="1058"/>
        </w:numPr>
      </w:pPr>
      <w:r>
        <w:t xml:space="preserve">Recommended Requirement Modification:</w:t>
      </w:r>
    </w:p>
    <w:p>
      <w:r>
        <w:pict>
          <v:rect style="width:0;height:1.5pt" o:hralign="center" o:hrstd="t" o:hr="t"/>
        </w:pict>
      </w:r>
    </w:p>
    <w:bookmarkEnd w:id="180"/>
    <w:bookmarkEnd w:id="181"/>
    <w:bookmarkStart w:id="185" w:name="sec:pxl-pelinca"/>
    <w:p>
      <w:pPr>
        <w:pStyle w:val="berschrift4"/>
      </w:pPr>
      <w:r>
        <w:rPr>
          <w:rStyle w:val="VerbatimChar"/>
        </w:rPr>
        <w:t xml:space="preserve">4.6.</w:t>
      </w:r>
      <w:r>
        <w:t xml:space="preserve"> </w:t>
      </w:r>
      <w:r>
        <w:t xml:space="preserve">Ellipsoidal Incident Angle Image</w:t>
      </w:r>
    </w:p>
    <w:p>
      <w:pPr>
        <w:pStyle w:val="FirstParagraph"/>
      </w:pPr>
      <w:r>
        <w:t xml:space="preserve">Identifier:</w:t>
      </w:r>
      <w:r>
        <w:t xml:space="preserve"> </w:t>
      </w:r>
      <w:r>
        <w:rPr>
          <w:rStyle w:val="VerbatimChar"/>
        </w:rPr>
        <w:t xml:space="preserve">pxl-pelinca</w:t>
      </w:r>
    </w:p>
    <w:bookmarkStart w:id="182" w:name="threshold-requirements-35"/>
    <w:p>
      <w:pPr>
        <w:pStyle w:val="berschrift5"/>
      </w:pPr>
      <w:r>
        <w:t xml:space="preserve">Threshold requirements:</w:t>
      </w:r>
    </w:p>
    <w:p>
      <w:pPr>
        <w:pStyle w:val="FirstParagraph"/>
      </w:pPr>
      <w:r>
        <w:t xml:space="preserve">Not required.</w:t>
      </w:r>
      <w:r>
        <w:t xml:space="preserve"> </w:t>
      </w:r>
    </w:p>
    <w:bookmarkEnd w:id="182"/>
    <w:bookmarkStart w:id="183" w:name="goal-requirements-35"/>
    <w:p>
      <w:pPr>
        <w:pStyle w:val="berschrift5"/>
      </w:pPr>
      <w:r>
        <w:t xml:space="preserve">Goal requirements:</w:t>
      </w:r>
    </w:p>
    <w:p>
      <w:pPr>
        <w:pStyle w:val="FirstParagraph"/>
      </w:pPr>
      <w:r>
        <w:t xml:space="preserve">Ellipsoidal incident angle is provided.</w:t>
      </w:r>
    </w:p>
    <w:p>
      <w:pPr>
        <w:pStyle w:val="Textkrper"/>
      </w:pPr>
      <w:r>
        <w:t xml:space="preserve">File format specifications/contents provided in metadata:</w:t>
      </w:r>
    </w:p>
    <w:p>
      <w:pPr>
        <w:pStyle w:val="Compact"/>
        <w:numPr>
          <w:ilvl w:val="0"/>
          <w:numId w:val="1059"/>
        </w:numPr>
      </w:pPr>
      <w:r>
        <w:t xml:space="preserve">Sample Type (Angle)</w:t>
      </w:r>
    </w:p>
    <w:p>
      <w:pPr>
        <w:pStyle w:val="Compact"/>
        <w:numPr>
          <w:ilvl w:val="0"/>
          <w:numId w:val="1059"/>
        </w:numPr>
      </w:pPr>
      <w:r>
        <w:t xml:space="preserve">Data Format (GeoTIFF, HDF5, NetCDF, …)</w:t>
      </w:r>
    </w:p>
    <w:p>
      <w:pPr>
        <w:pStyle w:val="Compact"/>
        <w:numPr>
          <w:ilvl w:val="0"/>
          <w:numId w:val="1059"/>
        </w:numPr>
      </w:pPr>
      <w:r>
        <w:t xml:space="preserve">Data Type (Int, Float, …)</w:t>
      </w:r>
    </w:p>
    <w:p>
      <w:pPr>
        <w:pStyle w:val="Compact"/>
        <w:numPr>
          <w:ilvl w:val="0"/>
          <w:numId w:val="1059"/>
        </w:numPr>
      </w:pPr>
      <w:r>
        <w:t xml:space="preserve">Bits per Sample</w:t>
      </w:r>
    </w:p>
    <w:p>
      <w:pPr>
        <w:pStyle w:val="Compact"/>
        <w:numPr>
          <w:ilvl w:val="0"/>
          <w:numId w:val="1059"/>
        </w:numPr>
      </w:pPr>
      <w:r>
        <w:t xml:space="preserve">Byte Order</w:t>
      </w:r>
    </w:p>
    <w:p>
      <w:pPr>
        <w:pStyle w:val="Compact"/>
        <w:numPr>
          <w:ilvl w:val="0"/>
          <w:numId w:val="1059"/>
        </w:numPr>
      </w:pPr>
      <w:r>
        <w:t xml:space="preserve">Reference Ellipsoid Name</w:t>
      </w:r>
    </w:p>
    <w:p>
      <w:pPr>
        <w:pStyle w:val="FirstParagraph"/>
      </w:pPr>
      <w:r>
        <w:t xml:space="preserve">Note:</w:t>
      </w:r>
    </w:p>
    <w:p>
      <w:pPr>
        <w:pStyle w:val="Compact"/>
        <w:numPr>
          <w:ilvl w:val="0"/>
          <w:numId w:val="1060"/>
        </w:numPr>
      </w:pPr>
      <w:r>
        <w:t xml:space="preserve">For maritime ORB scenes when no land areas are covered, the ellipsoidal incident angle is nearly identical to the geoid based local incident angle.</w:t>
      </w:r>
    </w:p>
    <w:bookmarkEnd w:id="183"/>
    <w:bookmarkStart w:id="184" w:name="assessment-35"/>
    <w:p>
      <w:pPr>
        <w:pStyle w:val="berschrift5"/>
      </w:pPr>
      <w:r>
        <w:t xml:space="preserve">Assessment:</w:t>
      </w:r>
    </w:p>
    <w:p>
      <w:pPr>
        <w:pStyle w:val="Compact"/>
        <w:numPr>
          <w:ilvl w:val="0"/>
          <w:numId w:val="1061"/>
        </w:numPr>
      </w:pPr>
      <w:r>
        <w:t xml:space="preserve">Threshold Self-Assessment:</w:t>
      </w:r>
    </w:p>
    <w:p>
      <w:pPr>
        <w:pStyle w:val="Compact"/>
        <w:numPr>
          <w:ilvl w:val="0"/>
          <w:numId w:val="1061"/>
        </w:numPr>
      </w:pPr>
      <w:r>
        <w:t xml:space="preserve">Goal Self-Assessment:</w:t>
      </w:r>
    </w:p>
    <w:p>
      <w:pPr>
        <w:pStyle w:val="Compact"/>
        <w:numPr>
          <w:ilvl w:val="0"/>
          <w:numId w:val="1061"/>
        </w:numPr>
      </w:pPr>
      <w:r>
        <w:t xml:space="preserve">Self-Assessment Explanation/ Justification:</w:t>
      </w:r>
    </w:p>
    <w:p>
      <w:pPr>
        <w:pStyle w:val="Compact"/>
        <w:numPr>
          <w:ilvl w:val="0"/>
          <w:numId w:val="1061"/>
        </w:numPr>
      </w:pPr>
      <w:r>
        <w:t xml:space="preserve">Recommended Requirement Modification:</w:t>
      </w:r>
    </w:p>
    <w:p>
      <w:r>
        <w:pict>
          <v:rect style="width:0;height:1.5pt" o:hralign="center" o:hrstd="t" o:hr="t"/>
        </w:pict>
      </w:r>
    </w:p>
    <w:bookmarkEnd w:id="184"/>
    <w:bookmarkEnd w:id="185"/>
    <w:bookmarkStart w:id="189" w:name="sec:pxl-pinopow"/>
    <w:p>
      <w:pPr>
        <w:pStyle w:val="berschrift4"/>
      </w:pPr>
      <w:r>
        <w:rPr>
          <w:rStyle w:val="VerbatimChar"/>
        </w:rPr>
        <w:t xml:space="preserve">4.7.</w:t>
      </w:r>
      <w:r>
        <w:t xml:space="preserve"> </w:t>
      </w:r>
      <w:r>
        <w:t xml:space="preserve">Noise Power Image</w:t>
      </w:r>
    </w:p>
    <w:p>
      <w:pPr>
        <w:pStyle w:val="FirstParagraph"/>
      </w:pPr>
      <w:r>
        <w:t xml:space="preserve">Identifier:</w:t>
      </w:r>
      <w:r>
        <w:t xml:space="preserve"> </w:t>
      </w:r>
      <w:r>
        <w:rPr>
          <w:rStyle w:val="VerbatimChar"/>
        </w:rPr>
        <w:t xml:space="preserve">pxl-pinopow</w:t>
      </w:r>
    </w:p>
    <w:bookmarkStart w:id="186" w:name="threshold-requirements-36"/>
    <w:p>
      <w:pPr>
        <w:pStyle w:val="berschrift5"/>
      </w:pPr>
      <w:r>
        <w:t xml:space="preserve">Threshold requirements:</w:t>
      </w:r>
    </w:p>
    <w:p>
      <w:pPr>
        <w:pStyle w:val="FirstParagraph"/>
      </w:pPr>
      <w:r>
        <w:t xml:space="preserve">Not required.</w:t>
      </w:r>
      <w:r>
        <w:t xml:space="preserve"> </w:t>
      </w:r>
    </w:p>
    <w:bookmarkEnd w:id="186"/>
    <w:bookmarkStart w:id="187" w:name="goal-requirements-36"/>
    <w:p>
      <w:pPr>
        <w:pStyle w:val="berschrift5"/>
      </w:pPr>
      <w:r>
        <w:t xml:space="preserve">Goal requirements:</w:t>
      </w:r>
    </w:p>
    <w:p>
      <w:pPr>
        <w:pStyle w:val="FirstParagraph"/>
      </w:pPr>
      <w:r>
        <w:t xml:space="preserve">Estimated Noise Equivalent</w:t>
      </w:r>
      <w:r>
        <w:t xml:space="preserve"> </w:t>
      </w:r>
      <m:oMath>
        <m:sSup>
          <m:e>
            <m:r>
              <m:t>σ</m:t>
            </m:r>
          </m:e>
          <m:sup>
            <m:r>
              <m:t>0</m:t>
            </m:r>
          </m:sup>
        </m:sSup>
      </m:oMath>
      <w:r>
        <w:t xml:space="preserve"> </w:t>
      </w:r>
      <w:r>
        <w:t xml:space="preserve">(or</w:t>
      </w:r>
      <w:r>
        <w:t xml:space="preserve"> </w:t>
      </w:r>
      <m:oMath>
        <m:sSup>
          <m:e>
            <m:r>
              <m:t>β</m:t>
            </m:r>
          </m:e>
          <m:sup>
            <m:r>
              <m:t>0</m:t>
            </m:r>
          </m:sup>
        </m:sSup>
      </m:oMath>
      <w:r>
        <w:t xml:space="preserve"> </w:t>
      </w:r>
      <w:r>
        <w:t xml:space="preserve">or</w:t>
      </w:r>
      <w:r>
        <w:t xml:space="preserve"> </w:t>
      </w:r>
      <m:oMath>
        <m:sSup>
          <m:e>
            <m:r>
              <m:t>γ</m:t>
            </m:r>
          </m:e>
          <m:sup>
            <m:r>
              <m:t>0</m:t>
            </m:r>
          </m:sup>
        </m:sSup>
      </m:oMath>
      <w:r>
        <w:t xml:space="preserve">, as applicable) used for noise removal, if applied, for each channel.</w:t>
      </w:r>
      <w:r>
        <w:t xml:space="preserve"> </w:t>
      </w:r>
      <m:oMath>
        <m:r>
          <m:rPr>
            <m:nor/>
            <m:sty m:val="p"/>
          </m:rPr>
          <m:t>NE</m:t>
        </m:r>
        <m:sSup>
          <m:e>
            <m:r>
              <m:t>σ</m:t>
            </m:r>
          </m:e>
          <m:sup>
            <m:r>
              <m:t>0</m:t>
            </m:r>
          </m:sup>
        </m:sSup>
      </m:oMath>
      <w:r>
        <w:t xml:space="preserve"> </w:t>
      </w:r>
      <w:r>
        <w:t xml:space="preserve">and</w:t>
      </w:r>
      <w:r>
        <w:t xml:space="preserve"> </w:t>
      </w:r>
      <m:oMath>
        <m:r>
          <m:rPr>
            <m:nor/>
            <m:sty m:val="p"/>
          </m:rPr>
          <m:t>NE</m:t>
        </m:r>
        <m:sSup>
          <m:e>
            <m:r>
              <m:t>γ</m:t>
            </m:r>
          </m:e>
          <m:sup>
            <m:r>
              <m:t>0</m:t>
            </m:r>
          </m:sup>
        </m:sSup>
      </m:oMath>
      <w:r>
        <w:t xml:space="preserve"> </w:t>
      </w:r>
      <w:r>
        <w:t xml:space="preserve">are both based on a simplified ellipsoid Earth model.</w:t>
      </w:r>
    </w:p>
    <w:p>
      <w:pPr>
        <w:pStyle w:val="Textkrper"/>
      </w:pPr>
      <w:r>
        <w:t xml:space="preserve">File format specifications/contents provided in metadata:</w:t>
      </w:r>
    </w:p>
    <w:p>
      <w:pPr>
        <w:pStyle w:val="Compact"/>
        <w:numPr>
          <w:ilvl w:val="0"/>
          <w:numId w:val="1062"/>
        </w:numPr>
      </w:pPr>
      <w:r>
        <w:t xml:space="preserve">Sample Type (Gamma-Nought, Sigma-Nought, Beta-Nought)</w:t>
      </w:r>
    </w:p>
    <w:p>
      <w:pPr>
        <w:pStyle w:val="Compact"/>
        <w:numPr>
          <w:ilvl w:val="0"/>
          <w:numId w:val="1062"/>
        </w:numPr>
      </w:pPr>
      <w:r>
        <w:t xml:space="preserve">Data Format (GeoTIFF, HDF5, NetCDF, …)</w:t>
      </w:r>
    </w:p>
    <w:p>
      <w:pPr>
        <w:pStyle w:val="Compact"/>
        <w:numPr>
          <w:ilvl w:val="0"/>
          <w:numId w:val="1062"/>
        </w:numPr>
      </w:pPr>
      <w:r>
        <w:t xml:space="preserve">Data Type (Int, Float, …)</w:t>
      </w:r>
    </w:p>
    <w:p>
      <w:pPr>
        <w:pStyle w:val="Compact"/>
        <w:numPr>
          <w:ilvl w:val="0"/>
          <w:numId w:val="1062"/>
        </w:numPr>
      </w:pPr>
      <w:r>
        <w:t xml:space="preserve">Bits per Sample</w:t>
      </w:r>
    </w:p>
    <w:p>
      <w:pPr>
        <w:pStyle w:val="Compact"/>
        <w:numPr>
          <w:ilvl w:val="0"/>
          <w:numId w:val="1062"/>
        </w:numPr>
      </w:pPr>
      <w:r>
        <w:t xml:space="preserve">Byte Order</w:t>
      </w:r>
    </w:p>
    <w:bookmarkEnd w:id="187"/>
    <w:bookmarkStart w:id="188" w:name="assessment-36"/>
    <w:p>
      <w:pPr>
        <w:pStyle w:val="berschrift5"/>
      </w:pPr>
      <w:r>
        <w:t xml:space="preserve">Assessment:</w:t>
      </w:r>
    </w:p>
    <w:p>
      <w:pPr>
        <w:pStyle w:val="Compact"/>
        <w:numPr>
          <w:ilvl w:val="0"/>
          <w:numId w:val="1063"/>
        </w:numPr>
      </w:pPr>
      <w:r>
        <w:t xml:space="preserve">Threshold Self-Assessment:</w:t>
      </w:r>
    </w:p>
    <w:p>
      <w:pPr>
        <w:pStyle w:val="Compact"/>
        <w:numPr>
          <w:ilvl w:val="0"/>
          <w:numId w:val="1063"/>
        </w:numPr>
      </w:pPr>
      <w:r>
        <w:t xml:space="preserve">Goal Self-Assessment:</w:t>
      </w:r>
    </w:p>
    <w:p>
      <w:pPr>
        <w:pStyle w:val="Compact"/>
        <w:numPr>
          <w:ilvl w:val="0"/>
          <w:numId w:val="1063"/>
        </w:numPr>
      </w:pPr>
      <w:r>
        <w:t xml:space="preserve">Self-Assessment Explanation/ Justification:</w:t>
      </w:r>
    </w:p>
    <w:p>
      <w:pPr>
        <w:pStyle w:val="Compact"/>
        <w:numPr>
          <w:ilvl w:val="0"/>
          <w:numId w:val="1063"/>
        </w:numPr>
      </w:pPr>
      <w:r>
        <w:t xml:space="preserve">Recommended Requirement Modification:</w:t>
      </w:r>
    </w:p>
    <w:p>
      <w:r>
        <w:pict>
          <v:rect style="width:0;height:1.5pt" o:hralign="center" o:hrstd="t" o:hr="t"/>
        </w:pict>
      </w:r>
    </w:p>
    <w:bookmarkEnd w:id="188"/>
    <w:bookmarkEnd w:id="189"/>
    <w:bookmarkStart w:id="193" w:name="sec:pxl-gasiri"/>
    <w:p>
      <w:pPr>
        <w:pStyle w:val="berschrift4"/>
      </w:pPr>
      <w:r>
        <w:rPr>
          <w:rStyle w:val="VerbatimChar"/>
        </w:rPr>
        <w:t xml:space="preserve">4.8.</w:t>
      </w:r>
      <w:r>
        <w:t xml:space="preserve"> </w:t>
      </w:r>
      <w:r>
        <w:t xml:space="preserve">Gamma-to-Sigma Ratio Image</w:t>
      </w:r>
    </w:p>
    <w:p>
      <w:pPr>
        <w:pStyle w:val="FirstParagraph"/>
      </w:pPr>
      <w:r>
        <w:t xml:space="preserve">Identifier:</w:t>
      </w:r>
      <w:r>
        <w:t xml:space="preserve"> </w:t>
      </w:r>
      <w:r>
        <w:rPr>
          <w:rStyle w:val="VerbatimChar"/>
        </w:rPr>
        <w:t xml:space="preserve">pxl-gasiri</w:t>
      </w:r>
    </w:p>
    <w:bookmarkStart w:id="190" w:name="threshold-requirements-37"/>
    <w:p>
      <w:pPr>
        <w:pStyle w:val="berschrift5"/>
      </w:pPr>
      <w:r>
        <w:t xml:space="preserve">Threshold requirements:</w:t>
      </w:r>
    </w:p>
    <w:p>
      <w:pPr>
        <w:pStyle w:val="FirstParagraph"/>
      </w:pPr>
      <w:r>
        <w:t xml:space="preserve">Not required.</w:t>
      </w:r>
      <w:r>
        <w:t xml:space="preserve"> </w:t>
      </w:r>
    </w:p>
    <w:bookmarkEnd w:id="190"/>
    <w:bookmarkStart w:id="191" w:name="goal-requirements-37"/>
    <w:p>
      <w:pPr>
        <w:pStyle w:val="berschrift5"/>
      </w:pPr>
      <w:r>
        <w:t xml:space="preserve">Goal requirements:</w:t>
      </w:r>
    </w:p>
    <w:p>
      <w:pPr>
        <w:pStyle w:val="FirstParagraph"/>
      </w:pPr>
      <w:r>
        <w:t xml:space="preserve">Ratio of the integrated area in the Gamma projection over the integrated area</w:t>
      </w:r>
      <w:r>
        <w:t xml:space="preserve"> </w:t>
      </w:r>
      <w:r>
        <w:t xml:space="preserve">in the Sigma projection (ground). Multiplying RTC</w:t>
      </w:r>
      <w:r>
        <w:t xml:space="preserve"> </w:t>
      </w:r>
      <m:oMath>
        <m:sSubSup>
          <m:e>
            <m:r>
              <m:t>γ</m:t>
            </m:r>
          </m:e>
          <m:sub>
            <m:r>
              <m:t>T</m:t>
            </m:r>
          </m:sub>
          <m:sup>
            <m:r>
              <m:t>0</m:t>
            </m:r>
          </m:sup>
        </m:sSubSup>
      </m:oMath>
      <w:r>
        <w:t xml:space="preserve"> </w:t>
      </w:r>
      <w:r>
        <w:t xml:space="preserve">by this ratio results in an</w:t>
      </w:r>
      <w:r>
        <w:t xml:space="preserve"> </w:t>
      </w:r>
      <w:r>
        <w:t xml:space="preserve">estimate of RTC</w:t>
      </w:r>
      <w:r>
        <w:t xml:space="preserve"> </w:t>
      </w:r>
      <m:oMath>
        <m:sSubSup>
          <m:e>
            <m:r>
              <m:t>σ</m:t>
            </m:r>
          </m:e>
          <m:sub>
            <m:r>
              <m:t>T</m:t>
            </m:r>
          </m:sub>
          <m:sup>
            <m:r>
              <m:t>0</m:t>
            </m:r>
          </m:sup>
        </m:sSubSup>
      </m:oMath>
      <w:r>
        <w:t xml:space="preserve">.</w:t>
      </w:r>
    </w:p>
    <w:p>
      <w:pPr>
        <w:pStyle w:val="Textkrper"/>
      </w:pPr>
      <w:r>
        <w:t xml:space="preserve">File format specifications/contents provided in metadata:</w:t>
      </w:r>
    </w:p>
    <w:p>
      <w:pPr>
        <w:pStyle w:val="Compact"/>
        <w:numPr>
          <w:ilvl w:val="0"/>
          <w:numId w:val="1064"/>
        </w:numPr>
      </w:pPr>
      <w:r>
        <w:t xml:space="preserve">Sample Type (Ratio)</w:t>
      </w:r>
    </w:p>
    <w:p>
      <w:pPr>
        <w:pStyle w:val="Compact"/>
        <w:numPr>
          <w:ilvl w:val="0"/>
          <w:numId w:val="1064"/>
        </w:numPr>
      </w:pPr>
      <w:r>
        <w:t xml:space="preserve">Data Format (GeoTIFF, HDF5, NetCDF, …)</w:t>
      </w:r>
    </w:p>
    <w:p>
      <w:pPr>
        <w:pStyle w:val="Compact"/>
        <w:numPr>
          <w:ilvl w:val="0"/>
          <w:numId w:val="1064"/>
        </w:numPr>
      </w:pPr>
      <w:r>
        <w:t xml:space="preserve">Data Type (Int, Float, …)</w:t>
      </w:r>
    </w:p>
    <w:p>
      <w:pPr>
        <w:pStyle w:val="Compact"/>
        <w:numPr>
          <w:ilvl w:val="0"/>
          <w:numId w:val="1064"/>
        </w:numPr>
      </w:pPr>
      <w:r>
        <w:t xml:space="preserve">Bits per Sample</w:t>
      </w:r>
    </w:p>
    <w:p>
      <w:pPr>
        <w:pStyle w:val="Compact"/>
        <w:numPr>
          <w:ilvl w:val="0"/>
          <w:numId w:val="1064"/>
        </w:numPr>
      </w:pPr>
      <w:r>
        <w:t xml:space="preserve">Byte Order</w:t>
      </w:r>
    </w:p>
    <w:bookmarkEnd w:id="191"/>
    <w:bookmarkStart w:id="192" w:name="assessment-37"/>
    <w:p>
      <w:pPr>
        <w:pStyle w:val="berschrift5"/>
      </w:pPr>
      <w:r>
        <w:t xml:space="preserve">Assessment:</w:t>
      </w:r>
    </w:p>
    <w:p>
      <w:pPr>
        <w:pStyle w:val="Compact"/>
        <w:numPr>
          <w:ilvl w:val="0"/>
          <w:numId w:val="1065"/>
        </w:numPr>
      </w:pPr>
      <w:r>
        <w:t xml:space="preserve">Threshold Self-Assessment:</w:t>
      </w:r>
    </w:p>
    <w:p>
      <w:pPr>
        <w:pStyle w:val="Compact"/>
        <w:numPr>
          <w:ilvl w:val="0"/>
          <w:numId w:val="1065"/>
        </w:numPr>
      </w:pPr>
      <w:r>
        <w:t xml:space="preserve">Goal Self-Assessment:</w:t>
      </w:r>
    </w:p>
    <w:p>
      <w:pPr>
        <w:pStyle w:val="Compact"/>
        <w:numPr>
          <w:ilvl w:val="0"/>
          <w:numId w:val="1065"/>
        </w:numPr>
      </w:pPr>
      <w:r>
        <w:t xml:space="preserve">Self-Assessment Explanation/ Justification:</w:t>
      </w:r>
    </w:p>
    <w:p>
      <w:pPr>
        <w:pStyle w:val="Compact"/>
        <w:numPr>
          <w:ilvl w:val="0"/>
          <w:numId w:val="1065"/>
        </w:numPr>
      </w:pPr>
      <w:r>
        <w:t xml:space="preserve">Recommended Requirement Modification:</w:t>
      </w:r>
    </w:p>
    <w:p>
      <w:r>
        <w:pict>
          <v:rect style="width:0;height:1.5pt" o:hralign="center" o:hrstd="t" o:hr="t"/>
        </w:pict>
      </w:r>
    </w:p>
    <w:bookmarkEnd w:id="192"/>
    <w:bookmarkEnd w:id="193"/>
    <w:bookmarkStart w:id="197" w:name="sec:pxl-pacqid"/>
    <w:p>
      <w:pPr>
        <w:pStyle w:val="berschrift4"/>
      </w:pPr>
      <w:r>
        <w:rPr>
          <w:rStyle w:val="VerbatimChar"/>
        </w:rPr>
        <w:t xml:space="preserve">4.9.</w:t>
      </w:r>
      <w:r>
        <w:t xml:space="preserve"> </w:t>
      </w:r>
      <w:r>
        <w:t xml:space="preserve">Acquisition ID Image</w:t>
      </w:r>
    </w:p>
    <w:p>
      <w:pPr>
        <w:pStyle w:val="FirstParagraph"/>
      </w:pPr>
      <w:r>
        <w:t xml:space="preserve">Identifier:</w:t>
      </w:r>
      <w:r>
        <w:t xml:space="preserve"> </w:t>
      </w:r>
      <w:r>
        <w:rPr>
          <w:rStyle w:val="VerbatimChar"/>
        </w:rPr>
        <w:t xml:space="preserve">pxl-pacqid</w:t>
      </w:r>
    </w:p>
    <w:bookmarkStart w:id="194" w:name="threshold-requirements-38"/>
    <w:p>
      <w:pPr>
        <w:pStyle w:val="berschrift5"/>
      </w:pPr>
      <w:r>
        <w:t xml:space="preserve">Threshold requirements:</w:t>
      </w:r>
    </w:p>
    <w:p>
      <w:pPr>
        <w:pStyle w:val="FirstParagraph"/>
      </w:pPr>
      <w:r>
        <w:rPr>
          <w:b/>
          <w:bCs/>
        </w:rPr>
        <w:t xml:space="preserve">Required for multi-source product only.</w:t>
      </w:r>
    </w:p>
    <w:p>
      <w:pPr>
        <w:pStyle w:val="Textkrper"/>
      </w:pPr>
      <w:r>
        <w:t xml:space="preserve">Acquisition ID, or acquisition date, for each pixel is identified.</w:t>
      </w:r>
    </w:p>
    <w:p>
      <w:pPr>
        <w:pStyle w:val="Textkrper"/>
      </w:pPr>
      <w:r>
        <w:t xml:space="preserve">In case of multi-temporal image stacks, use a source acquisition ID (i.e., Section </w:t>
      </w:r>
      <w:r>
        <w:t xml:space="preserve">“</w:t>
      </w:r>
      <w:hyperlink w:anchor="sec:src-macqid">
        <w:r>
          <w:rPr>
            <w:rStyle w:val="Hyperlink"/>
          </w:rPr>
          <w:t xml:space="preserve">Source Metadata: Acquisition ID</w:t>
        </w:r>
      </w:hyperlink>
      <w:r>
        <w:t xml:space="preserve">”</w:t>
      </w:r>
      <w:r>
        <w:t xml:space="preserve">) to list contributing images.</w:t>
      </w:r>
    </w:p>
    <w:p>
      <w:pPr>
        <w:pStyle w:val="Textkrper"/>
      </w:pPr>
      <w:r>
        <w:t xml:space="preserve">In case of date, data represent (integer or fractional) day offset to reference observation date (in UTC). Date used as reference (“Day 0”) is provided in the metadata.</w:t>
      </w:r>
    </w:p>
    <w:p>
      <w:pPr>
        <w:pStyle w:val="Textkrper"/>
      </w:pPr>
      <w:r>
        <w:t xml:space="preserve">Pixels not representing a unique date (e.g., pixels averaged in image overlap zones) are flagged with a pre-set pixel value that is provided in the metadata.</w:t>
      </w:r>
    </w:p>
    <w:p>
      <w:pPr>
        <w:pStyle w:val="Textkrper"/>
      </w:pPr>
      <w:r>
        <w:t xml:space="preserve">File format specifications/contents provided in metadata:</w:t>
      </w:r>
    </w:p>
    <w:p>
      <w:pPr>
        <w:pStyle w:val="Compact"/>
        <w:numPr>
          <w:ilvl w:val="0"/>
          <w:numId w:val="1066"/>
        </w:numPr>
      </w:pPr>
      <w:r>
        <w:t xml:space="preserve">Sample type (Day, Time, ID)</w:t>
      </w:r>
    </w:p>
    <w:p>
      <w:pPr>
        <w:pStyle w:val="Compact"/>
        <w:numPr>
          <w:ilvl w:val="0"/>
          <w:numId w:val="1066"/>
        </w:numPr>
      </w:pPr>
      <w:r>
        <w:t xml:space="preserve">Data Format (GeoTIFF, HDF5, NetCDF, …)</w:t>
      </w:r>
    </w:p>
    <w:p>
      <w:pPr>
        <w:pStyle w:val="Compact"/>
        <w:numPr>
          <w:ilvl w:val="0"/>
          <w:numId w:val="1066"/>
        </w:numPr>
      </w:pPr>
      <w:r>
        <w:t xml:space="preserve">Data Type (Int, Float, …)</w:t>
      </w:r>
    </w:p>
    <w:p>
      <w:pPr>
        <w:pStyle w:val="Compact"/>
        <w:numPr>
          <w:ilvl w:val="0"/>
          <w:numId w:val="1066"/>
        </w:numPr>
      </w:pPr>
      <w:r>
        <w:t xml:space="preserve">Bits per sample</w:t>
      </w:r>
    </w:p>
    <w:p>
      <w:pPr>
        <w:pStyle w:val="Compact"/>
        <w:numPr>
          <w:ilvl w:val="0"/>
          <w:numId w:val="1066"/>
        </w:numPr>
      </w:pPr>
      <w:r>
        <w:t xml:space="preserve">Byte Order</w:t>
      </w:r>
    </w:p>
    <w:bookmarkEnd w:id="194"/>
    <w:bookmarkStart w:id="195" w:name="goal-requirements-38"/>
    <w:p>
      <w:pPr>
        <w:pStyle w:val="berschrift5"/>
      </w:pPr>
      <w:r>
        <w:t xml:space="preserve">Goal requirements:</w:t>
      </w:r>
    </w:p>
    <w:p>
      <w:pPr>
        <w:pStyle w:val="FirstParagraph"/>
      </w:pPr>
      <w:r>
        <w:t xml:space="preserve">In case of image composites, the sources for each pixel are uniquely identified.</w:t>
      </w:r>
    </w:p>
    <w:bookmarkEnd w:id="195"/>
    <w:bookmarkStart w:id="196" w:name="assessment-38"/>
    <w:p>
      <w:pPr>
        <w:pStyle w:val="berschrift5"/>
      </w:pPr>
      <w:r>
        <w:t xml:space="preserve">Assessment:</w:t>
      </w:r>
    </w:p>
    <w:p>
      <w:pPr>
        <w:pStyle w:val="Compact"/>
        <w:numPr>
          <w:ilvl w:val="0"/>
          <w:numId w:val="1067"/>
        </w:numPr>
      </w:pPr>
      <w:r>
        <w:t xml:space="preserve">Threshold Self-Assessment:</w:t>
      </w:r>
    </w:p>
    <w:p>
      <w:pPr>
        <w:pStyle w:val="Compact"/>
        <w:numPr>
          <w:ilvl w:val="0"/>
          <w:numId w:val="1067"/>
        </w:numPr>
      </w:pPr>
      <w:r>
        <w:t xml:space="preserve">Goal Self-Assessment:</w:t>
      </w:r>
    </w:p>
    <w:p>
      <w:pPr>
        <w:pStyle w:val="Compact"/>
        <w:numPr>
          <w:ilvl w:val="0"/>
          <w:numId w:val="1067"/>
        </w:numPr>
      </w:pPr>
      <w:r>
        <w:t xml:space="preserve">Self-Assessment Explanation/ Justification:</w:t>
      </w:r>
    </w:p>
    <w:p>
      <w:pPr>
        <w:pStyle w:val="Compact"/>
        <w:numPr>
          <w:ilvl w:val="0"/>
          <w:numId w:val="1067"/>
        </w:numPr>
      </w:pPr>
      <w:r>
        <w:t xml:space="preserve">Recommended Requirement Modification:</w:t>
      </w:r>
    </w:p>
    <w:p>
      <w:r>
        <w:pict>
          <v:rect style="width:0;height:1.5pt" o:hralign="center" o:hrstd="t" o:hr="t"/>
        </w:pict>
      </w:r>
    </w:p>
    <w:bookmarkEnd w:id="196"/>
    <w:bookmarkEnd w:id="197"/>
    <w:bookmarkStart w:id="201" w:name="sec:pxl-pidem"/>
    <w:p>
      <w:pPr>
        <w:pStyle w:val="berschrift4"/>
      </w:pPr>
      <w:r>
        <w:rPr>
          <w:rStyle w:val="VerbatimChar"/>
        </w:rPr>
        <w:t xml:space="preserve">4.10.</w:t>
      </w:r>
      <w:r>
        <w:t xml:space="preserve"> </w:t>
      </w:r>
      <w:r>
        <w:t xml:space="preserve">Per-Pixel DEM</w:t>
      </w:r>
    </w:p>
    <w:p>
      <w:pPr>
        <w:pStyle w:val="FirstParagraph"/>
      </w:pPr>
      <w:r>
        <w:t xml:space="preserve">Identifier:</w:t>
      </w:r>
      <w:r>
        <w:t xml:space="preserve"> </w:t>
      </w:r>
      <w:r>
        <w:rPr>
          <w:rStyle w:val="VerbatimChar"/>
        </w:rPr>
        <w:t xml:space="preserve">pxl-pidem</w:t>
      </w:r>
    </w:p>
    <w:bookmarkStart w:id="198" w:name="threshold-requirements-39"/>
    <w:p>
      <w:pPr>
        <w:pStyle w:val="berschrift5"/>
      </w:pPr>
      <w:r>
        <w:t xml:space="preserve">Threshold requirements:</w:t>
      </w:r>
    </w:p>
    <w:p>
      <w:pPr>
        <w:pStyle w:val="FirstParagraph"/>
      </w:pPr>
      <w:r>
        <w:t xml:space="preserve">Not required.</w:t>
      </w:r>
      <w:r>
        <w:t xml:space="preserve"> </w:t>
      </w:r>
    </w:p>
    <w:bookmarkEnd w:id="198"/>
    <w:bookmarkStart w:id="199" w:name="goal-requirements-39"/>
    <w:p>
      <w:pPr>
        <w:pStyle w:val="berschrift5"/>
      </w:pPr>
      <w:r>
        <w:t xml:space="preserve">Goal requirements:</w:t>
      </w:r>
    </w:p>
    <w:p>
      <w:pPr>
        <w:pStyle w:val="FirstParagraph"/>
      </w:pPr>
      <w:r>
        <w:t xml:space="preserve">Provide DEM or DSM as used during the geometric and radiometric processing of the SAR data, resampled to an exact geometric match in extent and resolution with the CEOS-ARD SAR image product.</w:t>
      </w:r>
    </w:p>
    <w:p>
      <w:pPr>
        <w:pStyle w:val="Textkrper"/>
      </w:pPr>
      <w:r>
        <w:t xml:space="preserve">Can also be provided with ORB products containing land areas.</w:t>
      </w:r>
    </w:p>
    <w:p>
      <w:pPr>
        <w:pStyle w:val="Textkrper"/>
      </w:pPr>
      <w:r>
        <w:t xml:space="preserve">File format specifications/contents provided in metadata:</w:t>
      </w:r>
    </w:p>
    <w:p>
      <w:pPr>
        <w:pStyle w:val="Compact"/>
        <w:numPr>
          <w:ilvl w:val="0"/>
          <w:numId w:val="1068"/>
        </w:numPr>
      </w:pPr>
      <w:r>
        <w:t xml:space="preserve">Sample Type (Height)</w:t>
      </w:r>
    </w:p>
    <w:p>
      <w:pPr>
        <w:pStyle w:val="Compact"/>
        <w:numPr>
          <w:ilvl w:val="0"/>
          <w:numId w:val="1068"/>
        </w:numPr>
      </w:pPr>
      <w:r>
        <w:t xml:space="preserve">Data Format (GeoTIFF, HDF5, NetCDF, …)</w:t>
      </w:r>
    </w:p>
    <w:p>
      <w:pPr>
        <w:pStyle w:val="Compact"/>
        <w:numPr>
          <w:ilvl w:val="0"/>
          <w:numId w:val="1068"/>
        </w:numPr>
      </w:pPr>
      <w:r>
        <w:t xml:space="preserve">Data Type (Int, Float, …)</w:t>
      </w:r>
    </w:p>
    <w:p>
      <w:pPr>
        <w:pStyle w:val="Compact"/>
        <w:numPr>
          <w:ilvl w:val="0"/>
          <w:numId w:val="1068"/>
        </w:numPr>
      </w:pPr>
      <w:r>
        <w:t xml:space="preserve">Bits per Sample</w:t>
      </w:r>
    </w:p>
    <w:p>
      <w:pPr>
        <w:pStyle w:val="Compact"/>
        <w:numPr>
          <w:ilvl w:val="0"/>
          <w:numId w:val="1068"/>
        </w:numPr>
      </w:pPr>
      <w:r>
        <w:t xml:space="preserve">Byte Order</w:t>
      </w:r>
    </w:p>
    <w:bookmarkEnd w:id="199"/>
    <w:bookmarkStart w:id="200" w:name="assessment-39"/>
    <w:p>
      <w:pPr>
        <w:pStyle w:val="berschrift5"/>
      </w:pPr>
      <w:r>
        <w:t xml:space="preserve">Assessment:</w:t>
      </w:r>
    </w:p>
    <w:p>
      <w:pPr>
        <w:pStyle w:val="Compact"/>
        <w:numPr>
          <w:ilvl w:val="0"/>
          <w:numId w:val="1069"/>
        </w:numPr>
      </w:pPr>
      <w:r>
        <w:t xml:space="preserve">Threshold Self-Assessment:</w:t>
      </w:r>
    </w:p>
    <w:p>
      <w:pPr>
        <w:pStyle w:val="Compact"/>
        <w:numPr>
          <w:ilvl w:val="0"/>
          <w:numId w:val="1069"/>
        </w:numPr>
      </w:pPr>
      <w:r>
        <w:t xml:space="preserve">Goal Self-Assessment:</w:t>
      </w:r>
    </w:p>
    <w:p>
      <w:pPr>
        <w:pStyle w:val="Compact"/>
        <w:numPr>
          <w:ilvl w:val="0"/>
          <w:numId w:val="1069"/>
        </w:numPr>
      </w:pPr>
      <w:r>
        <w:t xml:space="preserve">Self-Assessment Explanation/ Justification:</w:t>
      </w:r>
    </w:p>
    <w:p>
      <w:pPr>
        <w:pStyle w:val="Compact"/>
        <w:numPr>
          <w:ilvl w:val="0"/>
          <w:numId w:val="1069"/>
        </w:numPr>
      </w:pPr>
      <w:r>
        <w:t xml:space="preserve">Recommended Requirement Modification:</w:t>
      </w:r>
    </w:p>
    <w:bookmarkEnd w:id="200"/>
    <w:bookmarkEnd w:id="201"/>
    <w:bookmarkEnd w:id="202"/>
    <w:bookmarkStart w:id="231" w:name="sec:rcm"/>
    <w:p>
      <w:pPr>
        <w:pStyle w:val="berschrift3"/>
      </w:pPr>
      <w:r>
        <w:rPr>
          <w:rStyle w:val="VerbatimChar"/>
        </w:rPr>
        <w:t xml:space="preserve">5.</w:t>
      </w:r>
      <w:r>
        <w:t xml:space="preserve"> </w:t>
      </w:r>
      <w:r>
        <w:t xml:space="preserve">Radiometrically Corrected Measurements</w:t>
      </w:r>
    </w:p>
    <w:p>
      <w:pPr>
        <w:pStyle w:val="FirstParagraph"/>
      </w:pPr>
      <w:r>
        <w:t xml:space="preserve">The requirements indicate the necessary outcomes and, to some degree, the minimum steps necessary to be deemed to have achieved those outcomes.</w:t>
      </w:r>
      <w:r>
        <w:t xml:space="preserve"> </w:t>
      </w:r>
      <w:r>
        <w:t xml:space="preserve">Radiometric corrections must lead to normalised measurement(s) of backscatter intensity and/or decomposed polarimetric parameters.</w:t>
      </w:r>
      <w:r>
        <w:t xml:space="preserve"> </w:t>
      </w:r>
      <w:r>
        <w:t xml:space="preserve">As for the per-pixel metadata, information regarding data format specification needs to be provided for each record.</w:t>
      </w:r>
      <w:r>
        <w:t xml:space="preserve"> </w:t>
      </w:r>
      <w:r>
        <w:t xml:space="preserve">The requirements below must be met for all pixels/samples/observations in a collection.</w:t>
      </w:r>
    </w:p>
    <w:bookmarkStart w:id="206" w:name="sec:rcm-cngform"/>
    <w:p>
      <w:pPr>
        <w:pStyle w:val="berschrift4"/>
      </w:pPr>
      <w:r>
        <w:rPr>
          <w:rStyle w:val="VerbatimChar"/>
        </w:rPr>
        <w:t xml:space="preserve">5.1.</w:t>
      </w:r>
      <w:r>
        <w:t xml:space="preserve"> </w:t>
      </w:r>
      <w:r>
        <w:t xml:space="preserve">Cloud Optimized Formats</w:t>
      </w:r>
    </w:p>
    <w:p>
      <w:pPr>
        <w:pStyle w:val="FirstParagraph"/>
      </w:pPr>
      <w:r>
        <w:t xml:space="preserve">Identifier:</w:t>
      </w:r>
      <w:r>
        <w:t xml:space="preserve"> </w:t>
      </w:r>
      <w:r>
        <w:rPr>
          <w:rStyle w:val="VerbatimChar"/>
        </w:rPr>
        <w:t xml:space="preserve">rcm-cngform</w:t>
      </w:r>
    </w:p>
    <w:bookmarkStart w:id="203" w:name="threshold-requirements-40"/>
    <w:p>
      <w:pPr>
        <w:pStyle w:val="berschrift5"/>
      </w:pPr>
      <w:r>
        <w:t xml:space="preserve">Threshold requirements:</w:t>
      </w:r>
    </w:p>
    <w:p>
      <w:pPr>
        <w:pStyle w:val="FirstParagraph"/>
      </w:pPr>
      <w:r>
        <w:t xml:space="preserve">Not required.</w:t>
      </w:r>
      <w:r>
        <w:t xml:space="preserve"> </w:t>
      </w:r>
    </w:p>
    <w:bookmarkEnd w:id="203"/>
    <w:bookmarkStart w:id="204" w:name="goal-requirements-40"/>
    <w:p>
      <w:pPr>
        <w:pStyle w:val="berschrift5"/>
      </w:pPr>
      <w:r>
        <w:t xml:space="preserve">Goal requirements:</w:t>
      </w:r>
    </w:p>
    <w:p>
      <w:pPr>
        <w:pStyle w:val="FirstParagraph"/>
      </w:pPr>
      <w:r>
        <w:t xml:space="preserve">All files are provided using cloud-optimized file formats.</w:t>
      </w:r>
    </w:p>
    <w:bookmarkEnd w:id="204"/>
    <w:bookmarkStart w:id="205" w:name="assessment-40"/>
    <w:p>
      <w:pPr>
        <w:pStyle w:val="berschrift5"/>
      </w:pPr>
      <w:r>
        <w:t xml:space="preserve">Assessment:</w:t>
      </w:r>
    </w:p>
    <w:p>
      <w:pPr>
        <w:pStyle w:val="Compact"/>
        <w:numPr>
          <w:ilvl w:val="0"/>
          <w:numId w:val="1070"/>
        </w:numPr>
      </w:pPr>
      <w:r>
        <w:t xml:space="preserve">Threshold Self-Assessment:</w:t>
      </w:r>
    </w:p>
    <w:p>
      <w:pPr>
        <w:pStyle w:val="Compact"/>
        <w:numPr>
          <w:ilvl w:val="0"/>
          <w:numId w:val="1070"/>
        </w:numPr>
      </w:pPr>
      <w:r>
        <w:t xml:space="preserve">Goal Self-Assessment:</w:t>
      </w:r>
    </w:p>
    <w:p>
      <w:pPr>
        <w:pStyle w:val="Compact"/>
        <w:numPr>
          <w:ilvl w:val="0"/>
          <w:numId w:val="1070"/>
        </w:numPr>
      </w:pPr>
      <w:r>
        <w:t xml:space="preserve">Self-Assessment Explanation/ Justification:</w:t>
      </w:r>
    </w:p>
    <w:p>
      <w:pPr>
        <w:pStyle w:val="Compact"/>
        <w:numPr>
          <w:ilvl w:val="0"/>
          <w:numId w:val="1070"/>
        </w:numPr>
      </w:pPr>
      <w:r>
        <w:t xml:space="preserve">Recommended Requirement Modification:</w:t>
      </w:r>
    </w:p>
    <w:p>
      <w:r>
        <w:pict>
          <v:rect style="width:0;height:1.5pt" o:hralign="center" o:hrstd="t" o:hr="t"/>
        </w:pict>
      </w:r>
    </w:p>
    <w:bookmarkEnd w:id="205"/>
    <w:bookmarkEnd w:id="206"/>
    <w:bookmarkStart w:id="210" w:name="sec:rcm-backsca-nrb"/>
    <w:p>
      <w:pPr>
        <w:pStyle w:val="berschrift4"/>
      </w:pPr>
      <w:r>
        <w:rPr>
          <w:rStyle w:val="VerbatimChar"/>
        </w:rPr>
        <w:t xml:space="preserve">5.2.</w:t>
      </w:r>
      <w:r>
        <w:t xml:space="preserve"> </w:t>
      </w:r>
      <w:r>
        <w:t xml:space="preserve">Backscatter Measurements (NRB)</w:t>
      </w:r>
    </w:p>
    <w:p>
      <w:pPr>
        <w:pStyle w:val="FirstParagraph"/>
      </w:pPr>
      <w:r>
        <w:t xml:space="preserve">Identifier:</w:t>
      </w:r>
      <w:r>
        <w:t xml:space="preserve"> </w:t>
      </w:r>
      <w:r>
        <w:rPr>
          <w:rStyle w:val="VerbatimChar"/>
        </w:rPr>
        <w:t xml:space="preserve">rcm-backsca-nrb</w:t>
      </w:r>
    </w:p>
    <w:bookmarkStart w:id="207" w:name="threshold-requirements-41"/>
    <w:p>
      <w:pPr>
        <w:pStyle w:val="berschrift5"/>
      </w:pPr>
      <w:r>
        <w:t xml:space="preserve">Threshold requirements:</w:t>
      </w:r>
    </w:p>
    <w:p>
      <w:pPr>
        <w:pStyle w:val="FirstParagraph"/>
      </w:pPr>
      <w:r>
        <w:t xml:space="preserve">“Terrain-flattened” Radiometrically Terrain Corrected (RTC) Gamma-Nought backscatter coefficient (</w:t>
      </w:r>
      <m:oMath>
        <m:sSubSup>
          <m:e>
            <m:r>
              <m:t>γ</m:t>
            </m:r>
          </m:e>
          <m:sub>
            <m:r>
              <m:t>T</m:t>
            </m:r>
          </m:sub>
          <m:sup>
            <m:r>
              <m:t>0</m:t>
            </m:r>
          </m:sup>
        </m:sSubSup>
      </m:oMath>
      <w:r>
        <w:t xml:space="preserve">) is provided for each polarization.</w:t>
      </w:r>
    </w:p>
    <w:p>
      <w:pPr>
        <w:pStyle w:val="Textkrper"/>
      </w:pPr>
      <w:r>
        <w:t xml:space="preserve">File format specifications/contents provided in metadata:</w:t>
      </w:r>
    </w:p>
    <w:p>
      <w:pPr>
        <w:pStyle w:val="Compact"/>
        <w:numPr>
          <w:ilvl w:val="0"/>
          <w:numId w:val="1071"/>
        </w:numPr>
      </w:pPr>
      <w:r>
        <w:t xml:space="preserve">Measurement Type (Gamma-Nought)</w:t>
      </w:r>
    </w:p>
    <w:p>
      <w:pPr>
        <w:pStyle w:val="Compact"/>
        <w:numPr>
          <w:ilvl w:val="0"/>
          <w:numId w:val="1071"/>
        </w:numPr>
      </w:pPr>
      <w:r>
        <w:t xml:space="preserve">Backscatter Expression Convention (linear amplitude, linear power*)</w:t>
      </w:r>
    </w:p>
    <w:p>
      <w:pPr>
        <w:pStyle w:val="Compact"/>
        <w:numPr>
          <w:ilvl w:val="0"/>
          <w:numId w:val="1071"/>
        </w:numPr>
      </w:pPr>
      <w:r>
        <w:t xml:space="preserve">Polarization (HH, HV, VV, VH)</w:t>
      </w:r>
    </w:p>
    <w:p>
      <w:pPr>
        <w:pStyle w:val="Compact"/>
        <w:numPr>
          <w:ilvl w:val="0"/>
          <w:numId w:val="1071"/>
        </w:numPr>
      </w:pPr>
      <w:r>
        <w:t xml:space="preserve">Data Format (GeoTIFF, HDF5, NetCDF, …)</w:t>
      </w:r>
    </w:p>
    <w:p>
      <w:pPr>
        <w:pStyle w:val="Compact"/>
        <w:numPr>
          <w:ilvl w:val="0"/>
          <w:numId w:val="1071"/>
        </w:numPr>
      </w:pPr>
      <w:r>
        <w:t xml:space="preserve">Data Type (Int, Float, …)</w:t>
      </w:r>
    </w:p>
    <w:p>
      <w:pPr>
        <w:pStyle w:val="Compact"/>
        <w:numPr>
          <w:ilvl w:val="0"/>
          <w:numId w:val="1071"/>
        </w:numPr>
      </w:pPr>
      <w:r>
        <w:t xml:space="preserve">Bits per Sample</w:t>
      </w:r>
    </w:p>
    <w:p>
      <w:pPr>
        <w:pStyle w:val="Compact"/>
        <w:numPr>
          <w:ilvl w:val="0"/>
          <w:numId w:val="1071"/>
        </w:numPr>
      </w:pPr>
      <w:r>
        <w:t xml:space="preserve">Byte Order</w:t>
      </w:r>
    </w:p>
    <w:p>
      <w:pPr>
        <w:pStyle w:val="FirstParagraph"/>
      </w:pPr>
      <w:r>
        <w:t xml:space="preserve">Note:</w:t>
      </w:r>
    </w:p>
    <w:p>
      <w:pPr>
        <w:pStyle w:val="Compact"/>
        <w:numPr>
          <w:ilvl w:val="0"/>
          <w:numId w:val="1072"/>
        </w:numPr>
      </w:pPr>
      <w:r>
        <w:t xml:space="preserve">Transformation to the logarithm decibel scale is not required or desired as this step can be easily completed by the user if necessary.</w:t>
      </w:r>
    </w:p>
    <w:bookmarkEnd w:id="207"/>
    <w:bookmarkStart w:id="208" w:name="goal-requirements-41"/>
    <w:p>
      <w:pPr>
        <w:pStyle w:val="berschrift5"/>
      </w:pPr>
      <w:r>
        <w:t xml:space="preserve">Goal requirements:</w:t>
      </w:r>
    </w:p>
    <w:p>
      <w:pPr>
        <w:pStyle w:val="FirstParagraph"/>
      </w:pPr>
      <w:r>
        <w:t xml:space="preserve">As threshold.</w:t>
      </w:r>
      <w:r>
        <w:t xml:space="preserve"> </w:t>
      </w:r>
    </w:p>
    <w:bookmarkEnd w:id="208"/>
    <w:bookmarkStart w:id="209" w:name="assessment-41"/>
    <w:p>
      <w:pPr>
        <w:pStyle w:val="berschrift5"/>
      </w:pPr>
      <w:r>
        <w:t xml:space="preserve">Assessment:</w:t>
      </w:r>
    </w:p>
    <w:p>
      <w:pPr>
        <w:pStyle w:val="Compact"/>
        <w:numPr>
          <w:ilvl w:val="0"/>
          <w:numId w:val="1073"/>
        </w:numPr>
      </w:pPr>
      <w:r>
        <w:t xml:space="preserve">Threshold Self-Assessment:</w:t>
      </w:r>
    </w:p>
    <w:p>
      <w:pPr>
        <w:pStyle w:val="Compact"/>
        <w:numPr>
          <w:ilvl w:val="0"/>
          <w:numId w:val="1073"/>
        </w:numPr>
      </w:pPr>
      <w:r>
        <w:t xml:space="preserve">Goal Self-Assessment:</w:t>
      </w:r>
    </w:p>
    <w:p>
      <w:pPr>
        <w:pStyle w:val="Compact"/>
        <w:numPr>
          <w:ilvl w:val="0"/>
          <w:numId w:val="1073"/>
        </w:numPr>
      </w:pPr>
      <w:r>
        <w:t xml:space="preserve">Self-Assessment Explanation/ Justification:</w:t>
      </w:r>
    </w:p>
    <w:p>
      <w:pPr>
        <w:pStyle w:val="Compact"/>
        <w:numPr>
          <w:ilvl w:val="0"/>
          <w:numId w:val="1073"/>
        </w:numPr>
      </w:pPr>
      <w:r>
        <w:t xml:space="preserve">Recommended Requirement Modification:</w:t>
      </w:r>
    </w:p>
    <w:p>
      <w:r>
        <w:pict>
          <v:rect style="width:0;height:1.5pt" o:hralign="center" o:hrstd="t" o:hr="t"/>
        </w:pict>
      </w:r>
    </w:p>
    <w:bookmarkEnd w:id="209"/>
    <w:bookmarkEnd w:id="210"/>
    <w:bookmarkStart w:id="214" w:name="sec:rcm-scaconv"/>
    <w:p>
      <w:pPr>
        <w:pStyle w:val="berschrift4"/>
      </w:pPr>
      <w:r>
        <w:rPr>
          <w:rStyle w:val="VerbatimChar"/>
        </w:rPr>
        <w:t xml:space="preserve">5.3.</w:t>
      </w:r>
      <w:r>
        <w:t xml:space="preserve"> </w:t>
      </w:r>
      <w:r>
        <w:t xml:space="preserve">Scaling Conversion</w:t>
      </w:r>
    </w:p>
    <w:p>
      <w:pPr>
        <w:pStyle w:val="FirstParagraph"/>
      </w:pPr>
      <w:r>
        <w:t xml:space="preserve">Identifier:</w:t>
      </w:r>
      <w:r>
        <w:t xml:space="preserve"> </w:t>
      </w:r>
      <w:r>
        <w:rPr>
          <w:rStyle w:val="VerbatimChar"/>
        </w:rPr>
        <w:t xml:space="preserve">rcm-scaconv</w:t>
      </w:r>
    </w:p>
    <w:bookmarkStart w:id="211" w:name="threshold-requirements-42"/>
    <w:p>
      <w:pPr>
        <w:pStyle w:val="berschrift5"/>
      </w:pPr>
      <w:r>
        <w:t xml:space="preserve">Threshold requirements:</w:t>
      </w:r>
    </w:p>
    <w:p>
      <w:pPr>
        <w:pStyle w:val="FirstParagraph"/>
      </w:pPr>
      <w:r>
        <w:t xml:space="preserve">If applicable, indicate the equation to convert pixel linear amplitude/power to logarithmic decibel scale, including, if applicable, the associated calibration (dB offset) factor, and/or the equation used to convert compressed data (int8/int16/float16) to float32.</w:t>
      </w:r>
    </w:p>
    <w:bookmarkEnd w:id="211"/>
    <w:bookmarkStart w:id="212" w:name="goal-requirements-42"/>
    <w:p>
      <w:pPr>
        <w:pStyle w:val="berschrift5"/>
      </w:pPr>
      <w:r>
        <w:t xml:space="preserve">Goal requirements:</w:t>
      </w:r>
    </w:p>
    <w:p>
      <w:pPr>
        <w:pStyle w:val="FirstParagraph"/>
      </w:pPr>
      <w:r>
        <w:t xml:space="preserve">As threshold, but use of float32.</w:t>
      </w:r>
    </w:p>
    <w:bookmarkEnd w:id="212"/>
    <w:bookmarkStart w:id="213" w:name="assessment-42"/>
    <w:p>
      <w:pPr>
        <w:pStyle w:val="berschrift5"/>
      </w:pPr>
      <w:r>
        <w:t xml:space="preserve">Assessment:</w:t>
      </w:r>
    </w:p>
    <w:p>
      <w:pPr>
        <w:pStyle w:val="Compact"/>
        <w:numPr>
          <w:ilvl w:val="0"/>
          <w:numId w:val="1074"/>
        </w:numPr>
      </w:pPr>
      <w:r>
        <w:t xml:space="preserve">Threshold Self-Assessment:</w:t>
      </w:r>
    </w:p>
    <w:p>
      <w:pPr>
        <w:pStyle w:val="Compact"/>
        <w:numPr>
          <w:ilvl w:val="0"/>
          <w:numId w:val="1074"/>
        </w:numPr>
      </w:pPr>
      <w:r>
        <w:t xml:space="preserve">Goal Self-Assessment:</w:t>
      </w:r>
    </w:p>
    <w:p>
      <w:pPr>
        <w:pStyle w:val="Compact"/>
        <w:numPr>
          <w:ilvl w:val="0"/>
          <w:numId w:val="1074"/>
        </w:numPr>
      </w:pPr>
      <w:r>
        <w:t xml:space="preserve">Self-Assessment Explanation/ Justification:</w:t>
      </w:r>
    </w:p>
    <w:p>
      <w:pPr>
        <w:pStyle w:val="Compact"/>
        <w:numPr>
          <w:ilvl w:val="0"/>
          <w:numId w:val="1074"/>
        </w:numPr>
      </w:pPr>
      <w:r>
        <w:t xml:space="preserve">Recommended Requirement Modification:</w:t>
      </w:r>
    </w:p>
    <w:p>
      <w:r>
        <w:pict>
          <v:rect style="width:0;height:1.5pt" o:hralign="center" o:hrstd="t" o:hr="t"/>
        </w:pict>
      </w:r>
    </w:p>
    <w:bookmarkEnd w:id="213"/>
    <w:bookmarkEnd w:id="214"/>
    <w:bookmarkStart w:id="218" w:name="sec:rcm-noiser"/>
    <w:p>
      <w:pPr>
        <w:pStyle w:val="berschrift4"/>
      </w:pPr>
      <w:r>
        <w:rPr>
          <w:rStyle w:val="VerbatimChar"/>
        </w:rPr>
        <w:t xml:space="preserve">5.4.</w:t>
      </w:r>
      <w:r>
        <w:t xml:space="preserve"> </w:t>
      </w:r>
      <w:r>
        <w:t xml:space="preserve">Noise Removal</w:t>
      </w:r>
    </w:p>
    <w:p>
      <w:pPr>
        <w:pStyle w:val="FirstParagraph"/>
      </w:pPr>
      <w:r>
        <w:t xml:space="preserve">Identifier:</w:t>
      </w:r>
      <w:r>
        <w:t xml:space="preserve"> </w:t>
      </w:r>
      <w:r>
        <w:rPr>
          <w:rStyle w:val="VerbatimChar"/>
        </w:rPr>
        <w:t xml:space="preserve">rcm-noiser</w:t>
      </w:r>
    </w:p>
    <w:bookmarkStart w:id="215" w:name="threshold-requirements-43"/>
    <w:p>
      <w:pPr>
        <w:pStyle w:val="berschrift5"/>
      </w:pPr>
      <w:r>
        <w:t xml:space="preserve">Threshold requirements:</w:t>
      </w:r>
    </w:p>
    <w:p>
      <w:pPr>
        <w:pStyle w:val="FirstParagraph"/>
      </w:pPr>
      <w:r>
        <w:t xml:space="preserve">Flag if noise removal has been applied (Y/N).</w:t>
      </w:r>
      <w:r>
        <w:t xml:space="preserve"> </w:t>
      </w:r>
      <w:r>
        <w:t xml:space="preserve">Metadata should include the noise removal algorithm and reference to the algorithm as URL or DOI.</w:t>
      </w:r>
    </w:p>
    <w:p>
      <w:pPr>
        <w:pStyle w:val="Textkrper"/>
      </w:pPr>
      <w:r>
        <w:t xml:space="preserve">Note:</w:t>
      </w:r>
    </w:p>
    <w:p>
      <w:pPr>
        <w:pStyle w:val="Compact"/>
        <w:numPr>
          <w:ilvl w:val="0"/>
          <w:numId w:val="1075"/>
        </w:numPr>
      </w:pPr>
      <w:r>
        <w:t xml:space="preserve">Thermal noise removal and image border noise removal to remove overall scene noise and scene edge artefacts, respectively.</w:t>
      </w:r>
    </w:p>
    <w:bookmarkEnd w:id="215"/>
    <w:bookmarkStart w:id="216" w:name="goal-requirements-43"/>
    <w:p>
      <w:pPr>
        <w:pStyle w:val="berschrift5"/>
      </w:pPr>
      <w:r>
        <w:t xml:space="preserve">Goal requirements:</w:t>
      </w:r>
    </w:p>
    <w:p>
      <w:pPr>
        <w:pStyle w:val="FirstParagraph"/>
      </w:pPr>
      <w:r>
        <w:t xml:space="preserve">As threshold.</w:t>
      </w:r>
      <w:r>
        <w:t xml:space="preserve"> </w:t>
      </w:r>
    </w:p>
    <w:bookmarkEnd w:id="216"/>
    <w:bookmarkStart w:id="217" w:name="assessment-43"/>
    <w:p>
      <w:pPr>
        <w:pStyle w:val="berschrift5"/>
      </w:pPr>
      <w:r>
        <w:t xml:space="preserve">Assessment:</w:t>
      </w:r>
    </w:p>
    <w:p>
      <w:pPr>
        <w:pStyle w:val="Compact"/>
        <w:numPr>
          <w:ilvl w:val="0"/>
          <w:numId w:val="1076"/>
        </w:numPr>
      </w:pPr>
      <w:r>
        <w:t xml:space="preserve">Threshold Self-Assessment:</w:t>
      </w:r>
    </w:p>
    <w:p>
      <w:pPr>
        <w:pStyle w:val="Compact"/>
        <w:numPr>
          <w:ilvl w:val="0"/>
          <w:numId w:val="1076"/>
        </w:numPr>
      </w:pPr>
      <w:r>
        <w:t xml:space="preserve">Goal Self-Assessment:</w:t>
      </w:r>
    </w:p>
    <w:p>
      <w:pPr>
        <w:pStyle w:val="Compact"/>
        <w:numPr>
          <w:ilvl w:val="0"/>
          <w:numId w:val="1076"/>
        </w:numPr>
      </w:pPr>
      <w:r>
        <w:t xml:space="preserve">Self-Assessment Explanation/ Justification:</w:t>
      </w:r>
    </w:p>
    <w:p>
      <w:pPr>
        <w:pStyle w:val="Compact"/>
        <w:numPr>
          <w:ilvl w:val="0"/>
          <w:numId w:val="1076"/>
        </w:numPr>
      </w:pPr>
      <w:r>
        <w:t xml:space="preserve">Recommended Requirement Modification:</w:t>
      </w:r>
    </w:p>
    <w:p>
      <w:r>
        <w:pict>
          <v:rect style="width:0;height:1.5pt" o:hralign="center" o:hrstd="t" o:hr="t"/>
        </w:pict>
      </w:r>
    </w:p>
    <w:bookmarkEnd w:id="217"/>
    <w:bookmarkEnd w:id="218"/>
    <w:bookmarkStart w:id="222" w:name="sec:rcm-radtalg"/>
    <w:p>
      <w:pPr>
        <w:pStyle w:val="berschrift4"/>
      </w:pPr>
      <w:r>
        <w:rPr>
          <w:rStyle w:val="VerbatimChar"/>
        </w:rPr>
        <w:t xml:space="preserve">5.5.</w:t>
      </w:r>
      <w:r>
        <w:t xml:space="preserve"> </w:t>
      </w:r>
      <w:r>
        <w:t xml:space="preserve">Radiometric Terrain Correction Algorithm</w:t>
      </w:r>
    </w:p>
    <w:p>
      <w:pPr>
        <w:pStyle w:val="FirstParagraph"/>
      </w:pPr>
      <w:r>
        <w:t xml:space="preserve">Identifier:</w:t>
      </w:r>
      <w:r>
        <w:t xml:space="preserve"> </w:t>
      </w:r>
      <w:r>
        <w:rPr>
          <w:rStyle w:val="VerbatimChar"/>
        </w:rPr>
        <w:t xml:space="preserve">rcm-radtalg</w:t>
      </w:r>
    </w:p>
    <w:bookmarkStart w:id="219" w:name="threshold-requirements-44"/>
    <w:p>
      <w:pPr>
        <w:pStyle w:val="berschrift5"/>
      </w:pPr>
      <w:r>
        <w:t xml:space="preserve">Threshold requirements:</w:t>
      </w:r>
    </w:p>
    <w:p>
      <w:pPr>
        <w:pStyle w:val="FirstParagraph"/>
      </w:pPr>
      <w:r>
        <w:t xml:space="preserve">Adjustments were made for terrain by modelling the local contributing scattering area using the preferred choice of a published peer-reviewed algorithm to produce radiometrically terrain corrected (RTC)</w:t>
      </w:r>
      <w:r>
        <w:t xml:space="preserve"> </w:t>
      </w:r>
      <m:oMath>
        <m:sSubSup>
          <m:e>
            <m:r>
              <m:t>γ</m:t>
            </m:r>
          </m:e>
          <m:sub>
            <m:r>
              <m:t>T</m:t>
            </m:r>
          </m:sub>
          <m:sup>
            <m:r>
              <m:t>0</m:t>
            </m:r>
          </m:sup>
        </m:sSubSup>
      </m:oMath>
      <w:r>
        <w:t xml:space="preserve"> </w:t>
      </w:r>
      <w:r>
        <w:t xml:space="preserve">backscatter estimates.</w:t>
      </w:r>
    </w:p>
    <w:p>
      <w:pPr>
        <w:pStyle w:val="Textkrper"/>
      </w:pPr>
      <w:r>
        <w:t xml:space="preserve">Metadata references, e.g.</w:t>
      </w:r>
    </w:p>
    <w:p>
      <w:pPr>
        <w:pStyle w:val="Compact"/>
        <w:numPr>
          <w:ilvl w:val="0"/>
          <w:numId w:val="1077"/>
        </w:numPr>
      </w:pPr>
      <w:r>
        <w:t xml:space="preserve">a citable peer-reviewed algorithm</w:t>
      </w:r>
    </w:p>
    <w:p>
      <w:pPr>
        <w:pStyle w:val="Compact"/>
        <w:numPr>
          <w:ilvl w:val="0"/>
          <w:numId w:val="1077"/>
        </w:numPr>
      </w:pPr>
      <w:r>
        <w:t xml:space="preserve">technical documentation regarding the algorithm used to generate the backscatter estimates is expressed as URLs or DOIs</w:t>
      </w:r>
    </w:p>
    <w:p>
      <w:pPr>
        <w:pStyle w:val="Compact"/>
        <w:numPr>
          <w:ilvl w:val="0"/>
          <w:numId w:val="1077"/>
        </w:numPr>
      </w:pPr>
      <w:r>
        <w:t xml:space="preserve">the sources of auxiliary data used to make corrections</w:t>
      </w:r>
    </w:p>
    <w:p>
      <w:pPr>
        <w:pStyle w:val="FirstParagraph"/>
      </w:pPr>
      <w:r>
        <w:t xml:space="preserve">Note:</w:t>
      </w:r>
    </w:p>
    <w:p>
      <w:pPr>
        <w:pStyle w:val="Compact"/>
        <w:numPr>
          <w:ilvl w:val="0"/>
          <w:numId w:val="1078"/>
        </w:numPr>
      </w:pPr>
      <w:r>
        <w:t xml:space="preserve">Examples of technical documentation include an Algorithm, Theoretical Basis Document, product user guide, etc.</w:t>
      </w:r>
    </w:p>
    <w:bookmarkEnd w:id="219"/>
    <w:bookmarkStart w:id="220" w:name="goal-requirements-44"/>
    <w:p>
      <w:pPr>
        <w:pStyle w:val="berschrift5"/>
      </w:pPr>
      <w:r>
        <w:t xml:space="preserve">Goal requirements:</w:t>
      </w:r>
    </w:p>
    <w:p>
      <w:pPr>
        <w:pStyle w:val="FirstParagraph"/>
      </w:pPr>
      <w:r>
        <w:t xml:space="preserve">As threshold.</w:t>
      </w:r>
      <w:r>
        <w:t xml:space="preserve"> </w:t>
      </w:r>
    </w:p>
    <w:bookmarkEnd w:id="220"/>
    <w:bookmarkStart w:id="221" w:name="assessment-44"/>
    <w:p>
      <w:pPr>
        <w:pStyle w:val="berschrift5"/>
      </w:pPr>
      <w:r>
        <w:t xml:space="preserve">Assessment:</w:t>
      </w:r>
    </w:p>
    <w:p>
      <w:pPr>
        <w:pStyle w:val="Compact"/>
        <w:numPr>
          <w:ilvl w:val="0"/>
          <w:numId w:val="1079"/>
        </w:numPr>
      </w:pPr>
      <w:r>
        <w:t xml:space="preserve">Threshold Self-Assessment:</w:t>
      </w:r>
    </w:p>
    <w:p>
      <w:pPr>
        <w:pStyle w:val="Compact"/>
        <w:numPr>
          <w:ilvl w:val="0"/>
          <w:numId w:val="1079"/>
        </w:numPr>
      </w:pPr>
      <w:r>
        <w:t xml:space="preserve">Goal Self-Assessment:</w:t>
      </w:r>
    </w:p>
    <w:p>
      <w:pPr>
        <w:pStyle w:val="Compact"/>
        <w:numPr>
          <w:ilvl w:val="0"/>
          <w:numId w:val="1079"/>
        </w:numPr>
      </w:pPr>
      <w:r>
        <w:t xml:space="preserve">Self-Assessment Explanation/ Justification:</w:t>
      </w:r>
    </w:p>
    <w:p>
      <w:pPr>
        <w:pStyle w:val="Compact"/>
        <w:numPr>
          <w:ilvl w:val="0"/>
          <w:numId w:val="1079"/>
        </w:numPr>
      </w:pPr>
      <w:r>
        <w:t xml:space="preserve">Recommended Requirement Modification:</w:t>
      </w:r>
    </w:p>
    <w:p>
      <w:r>
        <w:pict>
          <v:rect style="width:0;height:1.5pt" o:hralign="center" o:hrstd="t" o:hr="t"/>
        </w:pict>
      </w:r>
    </w:p>
    <w:bookmarkEnd w:id="221"/>
    <w:bookmarkEnd w:id="222"/>
    <w:bookmarkStart w:id="226" w:name="sec:rcm-radacc-sar"/>
    <w:p>
      <w:pPr>
        <w:pStyle w:val="berschrift4"/>
      </w:pPr>
      <w:r>
        <w:rPr>
          <w:rStyle w:val="VerbatimChar"/>
        </w:rPr>
        <w:t xml:space="preserve">5.6.</w:t>
      </w:r>
      <w:r>
        <w:t xml:space="preserve"> </w:t>
      </w:r>
      <w:r>
        <w:t xml:space="preserve">Radiometric Accuracy</w:t>
      </w:r>
    </w:p>
    <w:p>
      <w:pPr>
        <w:pStyle w:val="FirstParagraph"/>
      </w:pPr>
      <w:r>
        <w:t xml:space="preserve">Identifier:</w:t>
      </w:r>
      <w:r>
        <w:t xml:space="preserve"> </w:t>
      </w:r>
      <w:r>
        <w:rPr>
          <w:rStyle w:val="VerbatimChar"/>
        </w:rPr>
        <w:t xml:space="preserve">rcm-radacc-sar</w:t>
      </w:r>
    </w:p>
    <w:bookmarkStart w:id="223" w:name="threshold-requirements-45"/>
    <w:p>
      <w:pPr>
        <w:pStyle w:val="berschrift5"/>
      </w:pPr>
      <w:r>
        <w:t xml:space="preserve">Threshold requirements:</w:t>
      </w:r>
    </w:p>
    <w:p>
      <w:pPr>
        <w:pStyle w:val="FirstParagraph"/>
      </w:pPr>
      <w:r>
        <w:t xml:space="preserve">Not required.</w:t>
      </w:r>
      <w:r>
        <w:t xml:space="preserve"> </w:t>
      </w:r>
    </w:p>
    <w:bookmarkEnd w:id="223"/>
    <w:bookmarkStart w:id="224" w:name="goal-requirements-45"/>
    <w:p>
      <w:pPr>
        <w:pStyle w:val="berschrift5"/>
      </w:pPr>
      <w:r>
        <w:t xml:space="preserve">Goal requirements:</w:t>
      </w:r>
    </w:p>
    <w:p>
      <w:pPr>
        <w:pStyle w:val="FirstParagraph"/>
      </w:pPr>
      <w:r>
        <w:t xml:space="preserve">Uncertainty (e.g., bounds on</w:t>
      </w:r>
      <w:r>
        <w:t xml:space="preserve"> </w:t>
      </w:r>
      <m:oMath>
        <m:sSup>
          <m:e>
            <m:r>
              <m:t>γ</m:t>
            </m:r>
          </m:e>
          <m:sup>
            <m:r>
              <m:t>0</m:t>
            </m:r>
          </m:sup>
        </m:sSup>
      </m:oMath>
      <w:r>
        <w:t xml:space="preserve"> </w:t>
      </w:r>
      <w:r>
        <w:t xml:space="preserve">or</w:t>
      </w:r>
      <w:r>
        <w:t xml:space="preserve"> </w:t>
      </w:r>
      <m:oMath>
        <m:sSup>
          <m:e>
            <m:r>
              <m:t>σ</m:t>
            </m:r>
          </m:e>
          <m:sup>
            <m:r>
              <m:t>0</m:t>
            </m:r>
          </m:sup>
        </m:sSup>
      </m:oMath>
      <w:r>
        <w:t xml:space="preserve">) information is provided as document referenced as URL or DOI.</w:t>
      </w:r>
      <w:r>
        <w:t xml:space="preserve"> </w:t>
      </w:r>
      <w:r>
        <w:t xml:space="preserve">SI traceability is achieved.</w:t>
      </w:r>
    </w:p>
    <w:bookmarkEnd w:id="224"/>
    <w:bookmarkStart w:id="225" w:name="assessment-45"/>
    <w:p>
      <w:pPr>
        <w:pStyle w:val="berschrift5"/>
      </w:pPr>
      <w:r>
        <w:t xml:space="preserve">Assessment:</w:t>
      </w:r>
    </w:p>
    <w:p>
      <w:pPr>
        <w:pStyle w:val="Compact"/>
        <w:numPr>
          <w:ilvl w:val="0"/>
          <w:numId w:val="1080"/>
        </w:numPr>
      </w:pPr>
      <w:r>
        <w:t xml:space="preserve">Threshold Self-Assessment:</w:t>
      </w:r>
    </w:p>
    <w:p>
      <w:pPr>
        <w:pStyle w:val="Compact"/>
        <w:numPr>
          <w:ilvl w:val="0"/>
          <w:numId w:val="1080"/>
        </w:numPr>
      </w:pPr>
      <w:r>
        <w:t xml:space="preserve">Goal Self-Assessment:</w:t>
      </w:r>
    </w:p>
    <w:p>
      <w:pPr>
        <w:pStyle w:val="Compact"/>
        <w:numPr>
          <w:ilvl w:val="0"/>
          <w:numId w:val="1080"/>
        </w:numPr>
      </w:pPr>
      <w:r>
        <w:t xml:space="preserve">Self-Assessment Explanation/ Justification:</w:t>
      </w:r>
    </w:p>
    <w:p>
      <w:pPr>
        <w:pStyle w:val="Compact"/>
        <w:numPr>
          <w:ilvl w:val="0"/>
          <w:numId w:val="1080"/>
        </w:numPr>
      </w:pPr>
      <w:r>
        <w:t xml:space="preserve">Recommended Requirement Modification:</w:t>
      </w:r>
    </w:p>
    <w:p>
      <w:r>
        <w:pict>
          <v:rect style="width:0;height:1.5pt" o:hralign="center" o:hrstd="t" o:hr="t"/>
        </w:pict>
      </w:r>
    </w:p>
    <w:bookmarkEnd w:id="225"/>
    <w:bookmarkEnd w:id="226"/>
    <w:bookmarkStart w:id="230" w:name="sec:rcm-flapha"/>
    <w:p>
      <w:pPr>
        <w:pStyle w:val="berschrift4"/>
      </w:pPr>
      <w:r>
        <w:rPr>
          <w:rStyle w:val="VerbatimChar"/>
        </w:rPr>
        <w:t xml:space="preserve">5.7.</w:t>
      </w:r>
      <w:r>
        <w:t xml:space="preserve"> </w:t>
      </w:r>
      <w:r>
        <w:t xml:space="preserve">Flattened Phase</w:t>
      </w:r>
    </w:p>
    <w:p>
      <w:pPr>
        <w:pStyle w:val="FirstParagraph"/>
      </w:pPr>
      <w:r>
        <w:t xml:space="preserve">Identifier:</w:t>
      </w:r>
      <w:r>
        <w:t xml:space="preserve"> </w:t>
      </w:r>
      <w:r>
        <w:rPr>
          <w:rStyle w:val="VerbatimChar"/>
        </w:rPr>
        <w:t xml:space="preserve">rcm-flapha</w:t>
      </w:r>
    </w:p>
    <w:p>
      <w:pPr>
        <w:pStyle w:val="Textkrper"/>
      </w:pPr>
      <w:r>
        <w:rPr>
          <w:b/>
          <w:bCs/>
        </w:rPr>
        <w:t xml:space="preserve">Usage: Alternative to GSLC product for NRB and POL products</w:t>
      </w:r>
    </w:p>
    <w:bookmarkStart w:id="227" w:name="threshold-requirements-46"/>
    <w:p>
      <w:pPr>
        <w:pStyle w:val="berschrift5"/>
      </w:pPr>
      <w:r>
        <w:t xml:space="preserve">Threshold requirements:</w:t>
      </w:r>
    </w:p>
    <w:p>
      <w:pPr>
        <w:pStyle w:val="FirstParagraph"/>
      </w:pPr>
      <w:r>
        <w:t xml:space="preserve">Not required.</w:t>
      </w:r>
      <w:r>
        <w:t xml:space="preserve"> </w:t>
      </w:r>
    </w:p>
    <w:bookmarkEnd w:id="227"/>
    <w:bookmarkStart w:id="228" w:name="goal-requirements-46"/>
    <w:p>
      <w:pPr>
        <w:pStyle w:val="berschrift5"/>
      </w:pPr>
      <w:r>
        <w:t xml:space="preserve">Goal requirements:</w:t>
      </w:r>
    </w:p>
    <w:p>
      <w:pPr>
        <w:pStyle w:val="FirstParagraph"/>
      </w:pPr>
      <w:r>
        <w:t xml:space="preserve">The Flattened Phase is the interferometric phase for which the topographic phase contribution is removed.</w:t>
      </w:r>
      <w:r>
        <w:t xml:space="preserve"> </w:t>
      </w:r>
      <w:r>
        <w:t xml:space="preserve">It is derived from the range-Doppler SLC product using a DEM and the orbital state vectors with respect to a reference orbit (see Section </w:t>
      </w:r>
      <w:r>
        <w:t xml:space="preserve">“</w:t>
      </w:r>
      <w:hyperlink w:anchor="sec:annex-sar-topographic-phase-removal">
        <w:r>
          <w:rPr>
            <w:rStyle w:val="Hyperlink"/>
          </w:rPr>
          <w:t xml:space="preserve">Topographic phase removal</w:t>
        </w:r>
      </w:hyperlink>
      <w:r>
        <w:t xml:space="preserve">”</w:t>
      </w:r>
      <w:r>
        <w:t xml:space="preserve">).</w:t>
      </w:r>
      <w:r>
        <w:t xml:space="preserve"> </w:t>
      </w:r>
      <w:r>
        <w:t xml:space="preserve">The use of the Flattened Phase with the NRB or POL intensity (Section </w:t>
      </w:r>
      <w:r>
        <w:t xml:space="preserve">“</w:t>
      </w:r>
      <w:hyperlink w:anchor="sec:rcm">
        <w:r>
          <w:rPr>
            <w:rStyle w:val="Hyperlink"/>
          </w:rPr>
          <w:t xml:space="preserve">Radiometrically Corrected Measurements</w:t>
        </w:r>
      </w:hyperlink>
      <w:r>
        <w:t xml:space="preserve">”</w:t>
      </w:r>
      <w:r>
        <w:t xml:space="preserve">) provides the GSLC equivalent, as follows:</w:t>
      </w:r>
    </w:p>
    <w:p>
      <w:pPr>
        <w:pStyle w:val="Textkrper"/>
      </w:pPr>
      <m:oMathPara>
        <m:oMathParaPr>
          <m:jc m:val="center"/>
        </m:oMathParaPr>
        <m:oMath>
          <m:r>
            <m:rPr>
              <m:nor/>
              <m:sty m:val="p"/>
            </m:rPr>
            <m:t>GSLC</m:t>
          </m:r>
          <m:r>
            <m:rPr>
              <m:sty m:val="p"/>
            </m:rPr>
            <m:t>=</m:t>
          </m:r>
          <m:rad>
            <m:radPr>
              <m:degHide m:val="on"/>
            </m:radPr>
            <m:deg/>
            <m:e>
              <m:r>
                <m:t>N</m:t>
              </m:r>
              <m:r>
                <m:t>R</m:t>
              </m:r>
              <m:r>
                <m:t>B</m:t>
              </m:r>
            </m:e>
          </m:rad>
          <m:r>
            <m:rPr>
              <m:sty m:val="p"/>
            </m:rPr>
            <m:t>×</m:t>
          </m:r>
          <m:r>
            <m:rPr>
              <m:sty m:val="p"/>
            </m:rPr>
            <m:t>exp</m:t>
          </m:r>
          <m:r>
            <m:rPr>
              <m:sty m:val="p"/>
            </m:rPr>
            <m:t>(</m:t>
          </m:r>
          <m:r>
            <m:t>j</m:t>
          </m:r>
          <m:r>
            <m:rPr>
              <m:sty m:val="p"/>
            </m:rPr>
            <m:t>⋅</m:t>
          </m:r>
          <m:r>
            <m:rPr>
              <m:nor/>
              <m:sty m:val="p"/>
            </m:rPr>
            <m:t>FlattenPhase</m:t>
          </m:r>
          <m:r>
            <m:rPr>
              <m:sty m:val="p"/>
            </m:rPr>
            <m:t>)</m:t>
          </m:r>
        </m:oMath>
      </m:oMathPara>
    </w:p>
    <w:p>
      <w:pPr>
        <w:pStyle w:val="FirstParagraph"/>
      </w:pPr>
      <w:r>
        <w:t xml:space="preserve">File format specifications/contents provided in metadata:</w:t>
      </w:r>
    </w:p>
    <w:p>
      <w:pPr>
        <w:pStyle w:val="Compact"/>
        <w:numPr>
          <w:ilvl w:val="0"/>
          <w:numId w:val="1081"/>
        </w:numPr>
      </w:pPr>
      <w:r>
        <w:t xml:space="preserve">Measurement Type (Flattened Phase)</w:t>
      </w:r>
    </w:p>
    <w:p>
      <w:pPr>
        <w:pStyle w:val="Compact"/>
        <w:numPr>
          <w:ilvl w:val="0"/>
          <w:numId w:val="1081"/>
        </w:numPr>
      </w:pPr>
      <w:r>
        <w:t xml:space="preserve">Reference Polarization (HH/HV/VV/VH)</w:t>
      </w:r>
    </w:p>
    <w:p>
      <w:pPr>
        <w:pStyle w:val="Compact"/>
        <w:numPr>
          <w:ilvl w:val="0"/>
          <w:numId w:val="1081"/>
        </w:numPr>
      </w:pPr>
      <w:r>
        <w:t xml:space="preserve">Data Format (GeoTIFF, HDF5, NetCDF, …)</w:t>
      </w:r>
    </w:p>
    <w:p>
      <w:pPr>
        <w:pStyle w:val="Compact"/>
        <w:numPr>
          <w:ilvl w:val="0"/>
          <w:numId w:val="1081"/>
        </w:numPr>
      </w:pPr>
      <w:r>
        <w:t xml:space="preserve">Data Type (Int, Float, …)</w:t>
      </w:r>
    </w:p>
    <w:p>
      <w:pPr>
        <w:pStyle w:val="Compact"/>
        <w:numPr>
          <w:ilvl w:val="0"/>
          <w:numId w:val="1081"/>
        </w:numPr>
      </w:pPr>
      <w:r>
        <w:t xml:space="preserve">Bits per Sample</w:t>
      </w:r>
    </w:p>
    <w:p>
      <w:pPr>
        <w:pStyle w:val="Compact"/>
        <w:numPr>
          <w:ilvl w:val="0"/>
          <w:numId w:val="1081"/>
        </w:numPr>
      </w:pPr>
      <w:r>
        <w:t xml:space="preserve">Byte Order</w:t>
      </w:r>
    </w:p>
    <w:p>
      <w:pPr>
        <w:pStyle w:val="FirstParagraph"/>
      </w:pPr>
      <w:r>
        <w:t xml:space="preserve">In case of polarimetric data, indicate the reference polarization.</w:t>
      </w:r>
    </w:p>
    <w:bookmarkEnd w:id="228"/>
    <w:bookmarkStart w:id="229" w:name="assessment-46"/>
    <w:p>
      <w:pPr>
        <w:pStyle w:val="berschrift5"/>
      </w:pPr>
      <w:r>
        <w:t xml:space="preserve">Assessment:</w:t>
      </w:r>
    </w:p>
    <w:p>
      <w:pPr>
        <w:pStyle w:val="Compact"/>
        <w:numPr>
          <w:ilvl w:val="0"/>
          <w:numId w:val="1082"/>
        </w:numPr>
      </w:pPr>
      <w:r>
        <w:t xml:space="preserve">Threshold Self-Assessment:</w:t>
      </w:r>
    </w:p>
    <w:p>
      <w:pPr>
        <w:pStyle w:val="Compact"/>
        <w:numPr>
          <w:ilvl w:val="0"/>
          <w:numId w:val="1082"/>
        </w:numPr>
      </w:pPr>
      <w:r>
        <w:t xml:space="preserve">Goal Self-Assessment:</w:t>
      </w:r>
    </w:p>
    <w:p>
      <w:pPr>
        <w:pStyle w:val="Compact"/>
        <w:numPr>
          <w:ilvl w:val="0"/>
          <w:numId w:val="1082"/>
        </w:numPr>
      </w:pPr>
      <w:r>
        <w:t xml:space="preserve">Self-Assessment Explanation/ Justification:</w:t>
      </w:r>
    </w:p>
    <w:p>
      <w:pPr>
        <w:pStyle w:val="Compact"/>
        <w:numPr>
          <w:ilvl w:val="0"/>
          <w:numId w:val="1082"/>
        </w:numPr>
      </w:pPr>
      <w:r>
        <w:t xml:space="preserve">Recommended Requirement Modification:</w:t>
      </w:r>
    </w:p>
    <w:bookmarkEnd w:id="229"/>
    <w:bookmarkEnd w:id="230"/>
    <w:bookmarkEnd w:id="231"/>
    <w:bookmarkStart w:id="252" w:name="sec:gcor"/>
    <w:p>
      <w:pPr>
        <w:pStyle w:val="berschrift3"/>
      </w:pPr>
      <w:r>
        <w:rPr>
          <w:rStyle w:val="VerbatimChar"/>
        </w:rPr>
        <w:t xml:space="preserve">6.</w:t>
      </w:r>
      <w:r>
        <w:t xml:space="preserve"> </w:t>
      </w:r>
      <w:r>
        <w:t xml:space="preserve">Geometric Corrections</w:t>
      </w:r>
    </w:p>
    <w:p>
      <w:pPr>
        <w:pStyle w:val="FirstParagraph"/>
      </w:pPr>
      <w:r>
        <w:t xml:space="preserve">The geometric corrections are steps that are taken to place the measurement accurately on the surface of the Earth (that is, to geolocate the measurement) allowing measurements taken through time to be compared.</w:t>
      </w:r>
      <w:r>
        <w:t xml:space="preserve"> </w:t>
      </w:r>
      <w:r>
        <w:t xml:space="preserve">This section specifies any geometric correction requirements that must be met in order for the data to be analysis ready.</w:t>
      </w:r>
    </w:p>
    <w:bookmarkStart w:id="235" w:name="sec:gcor-geocalg"/>
    <w:p>
      <w:pPr>
        <w:pStyle w:val="berschrift4"/>
      </w:pPr>
      <w:r>
        <w:rPr>
          <w:rStyle w:val="VerbatimChar"/>
        </w:rPr>
        <w:t xml:space="preserve">6.1.</w:t>
      </w:r>
      <w:r>
        <w:t xml:space="preserve"> </w:t>
      </w:r>
      <w:r>
        <w:t xml:space="preserve">Geometric Correction Algorithm</w:t>
      </w:r>
    </w:p>
    <w:p>
      <w:pPr>
        <w:pStyle w:val="FirstParagraph"/>
      </w:pPr>
      <w:r>
        <w:t xml:space="preserve">Identifier:</w:t>
      </w:r>
      <w:r>
        <w:t xml:space="preserve"> </w:t>
      </w:r>
      <w:r>
        <w:rPr>
          <w:rStyle w:val="VerbatimChar"/>
        </w:rPr>
        <w:t xml:space="preserve">gcor-geocalg</w:t>
      </w:r>
    </w:p>
    <w:bookmarkStart w:id="232" w:name="threshold-requirements-47"/>
    <w:p>
      <w:pPr>
        <w:pStyle w:val="berschrift5"/>
      </w:pPr>
      <w:r>
        <w:t xml:space="preserve">Threshold requirements:</w:t>
      </w:r>
    </w:p>
    <w:p>
      <w:pPr>
        <w:pStyle w:val="FirstParagraph"/>
      </w:pPr>
      <w:r>
        <w:t xml:space="preserve">Not required.</w:t>
      </w:r>
      <w:r>
        <w:t xml:space="preserve"> </w:t>
      </w:r>
    </w:p>
    <w:bookmarkEnd w:id="232"/>
    <w:bookmarkStart w:id="233" w:name="goal-requirements-47"/>
    <w:p>
      <w:pPr>
        <w:pStyle w:val="berschrift5"/>
      </w:pPr>
      <w:r>
        <w:t xml:space="preserve">Goal requirements:</w:t>
      </w:r>
    </w:p>
    <w:p>
      <w:pPr>
        <w:pStyle w:val="FirstParagraph"/>
      </w:pPr>
      <w:r>
        <w:t xml:space="preserve">Metadata references, e.g.:</w:t>
      </w:r>
    </w:p>
    <w:p>
      <w:pPr>
        <w:pStyle w:val="Compact"/>
        <w:numPr>
          <w:ilvl w:val="0"/>
          <w:numId w:val="1083"/>
        </w:numPr>
      </w:pPr>
      <w:r>
        <w:t xml:space="preserve">A metadata citable peer-reviewed algorithm</w:t>
      </w:r>
    </w:p>
    <w:p>
      <w:pPr>
        <w:pStyle w:val="Compact"/>
        <w:numPr>
          <w:ilvl w:val="0"/>
          <w:numId w:val="1083"/>
        </w:numPr>
      </w:pPr>
      <w:r>
        <w:t xml:space="preserve">Technical documentation regarding the implementation of that algorithm expressed as URLs or DOIs</w:t>
      </w:r>
    </w:p>
    <w:p>
      <w:pPr>
        <w:pStyle w:val="Compact"/>
        <w:numPr>
          <w:ilvl w:val="0"/>
          <w:numId w:val="1083"/>
        </w:numPr>
      </w:pPr>
      <w:r>
        <w:t xml:space="preserve">The sources of auxiliary data used to make corrections</w:t>
      </w:r>
    </w:p>
    <w:p>
      <w:pPr>
        <w:pStyle w:val="Compact"/>
        <w:numPr>
          <w:ilvl w:val="0"/>
          <w:numId w:val="1083"/>
        </w:numPr>
      </w:pPr>
      <w:r>
        <w:t xml:space="preserve">Resampling method used for geometric processing of the source data</w:t>
      </w:r>
    </w:p>
    <w:p>
      <w:pPr>
        <w:pStyle w:val="FirstParagraph"/>
      </w:pPr>
      <w:r>
        <w:t xml:space="preserve">Note:</w:t>
      </w:r>
    </w:p>
    <w:p>
      <w:pPr>
        <w:pStyle w:val="Compact"/>
        <w:numPr>
          <w:ilvl w:val="0"/>
          <w:numId w:val="1084"/>
        </w:numPr>
      </w:pPr>
      <w:r>
        <w:t xml:space="preserve">Examples of technical documentation can include e.g., an Algorithm Theoretical Basis Document (ATBD) or a product user guide.</w:t>
      </w:r>
    </w:p>
    <w:bookmarkEnd w:id="233"/>
    <w:bookmarkStart w:id="234" w:name="assessment-47"/>
    <w:p>
      <w:pPr>
        <w:pStyle w:val="berschrift5"/>
      </w:pPr>
      <w:r>
        <w:t xml:space="preserve">Assessment:</w:t>
      </w:r>
    </w:p>
    <w:p>
      <w:pPr>
        <w:pStyle w:val="Compact"/>
        <w:numPr>
          <w:ilvl w:val="0"/>
          <w:numId w:val="1085"/>
        </w:numPr>
      </w:pPr>
      <w:r>
        <w:t xml:space="preserve">Threshold Self-Assessment:</w:t>
      </w:r>
    </w:p>
    <w:p>
      <w:pPr>
        <w:pStyle w:val="Compact"/>
        <w:numPr>
          <w:ilvl w:val="0"/>
          <w:numId w:val="1085"/>
        </w:numPr>
      </w:pPr>
      <w:r>
        <w:t xml:space="preserve">Goal Self-Assessment:</w:t>
      </w:r>
    </w:p>
    <w:p>
      <w:pPr>
        <w:pStyle w:val="Compact"/>
        <w:numPr>
          <w:ilvl w:val="0"/>
          <w:numId w:val="1085"/>
        </w:numPr>
      </w:pPr>
      <w:r>
        <w:t xml:space="preserve">Self-Assessment Explanation/ Justification:</w:t>
      </w:r>
    </w:p>
    <w:p>
      <w:pPr>
        <w:pStyle w:val="Compact"/>
        <w:numPr>
          <w:ilvl w:val="0"/>
          <w:numId w:val="1085"/>
        </w:numPr>
      </w:pPr>
      <w:r>
        <w:t xml:space="preserve">Recommended Requirement Modification:</w:t>
      </w:r>
    </w:p>
    <w:p>
      <w:r>
        <w:pict>
          <v:rect style="width:0;height:1.5pt" o:hralign="center" o:hrstd="t" o:hr="t"/>
        </w:pict>
      </w:r>
    </w:p>
    <w:bookmarkEnd w:id="234"/>
    <w:bookmarkEnd w:id="235"/>
    <w:bookmarkStart w:id="239" w:name="sec:gcor-cdem"/>
    <w:p>
      <w:pPr>
        <w:pStyle w:val="berschrift4"/>
      </w:pPr>
      <w:r>
        <w:rPr>
          <w:rStyle w:val="VerbatimChar"/>
        </w:rPr>
        <w:t xml:space="preserve">6.2.</w:t>
      </w:r>
      <w:r>
        <w:t xml:space="preserve"> </w:t>
      </w:r>
      <w:r>
        <w:t xml:space="preserve">Digital Elevation Model</w:t>
      </w:r>
    </w:p>
    <w:p>
      <w:pPr>
        <w:pStyle w:val="FirstParagraph"/>
      </w:pPr>
      <w:r>
        <w:t xml:space="preserve">Identifier:</w:t>
      </w:r>
      <w:r>
        <w:t xml:space="preserve"> </w:t>
      </w:r>
      <w:r>
        <w:rPr>
          <w:rStyle w:val="VerbatimChar"/>
        </w:rPr>
        <w:t xml:space="preserve">gcor-cdem</w:t>
      </w:r>
    </w:p>
    <w:p>
      <w:pPr>
        <w:pStyle w:val="Textkrper"/>
      </w:pPr>
      <w:r>
        <w:rPr>
          <w:b/>
          <w:bCs/>
        </w:rPr>
        <w:t xml:space="preserve">Usage: For products including land areas.</w:t>
      </w:r>
    </w:p>
    <w:bookmarkStart w:id="236" w:name="threshold-requirements-48"/>
    <w:p>
      <w:pPr>
        <w:pStyle w:val="berschrift5"/>
      </w:pPr>
      <w:r>
        <w:t xml:space="preserve">Threshold requirements:</w:t>
      </w:r>
    </w:p>
    <w:p>
      <w:pPr>
        <w:pStyle w:val="Compact"/>
        <w:numPr>
          <w:ilvl w:val="0"/>
          <w:numId w:val="1086"/>
        </w:numPr>
      </w:pPr>
      <w:r>
        <w:t xml:space="preserve">During ortho-rectification, the data provider shall use the same DEM that was used for the radiometric terrain flattening to ensure consistency of the data stack.</w:t>
      </w:r>
    </w:p>
    <w:p>
      <w:pPr>
        <w:pStyle w:val="Compact"/>
        <w:numPr>
          <w:ilvl w:val="0"/>
          <w:numId w:val="1086"/>
        </w:numPr>
      </w:pPr>
      <w:r>
        <w:t xml:space="preserve">Provide reference to Digital Elevation Model used for geometric terrain correction.</w:t>
      </w:r>
    </w:p>
    <w:p>
      <w:pPr>
        <w:pStyle w:val="Compact"/>
        <w:numPr>
          <w:ilvl w:val="0"/>
          <w:numId w:val="1086"/>
        </w:numPr>
      </w:pPr>
      <w:r>
        <w:t xml:space="preserve">Provide reference to Earth Gravitational Model (EGM) used for geometric correction.</w:t>
      </w:r>
    </w:p>
    <w:bookmarkEnd w:id="236"/>
    <w:bookmarkStart w:id="237" w:name="goal-requirements-48"/>
    <w:p>
      <w:pPr>
        <w:pStyle w:val="berschrift5"/>
      </w:pPr>
      <w:r>
        <w:t xml:space="preserve">Goal requirements:</w:t>
      </w:r>
    </w:p>
    <w:p>
      <w:pPr>
        <w:pStyle w:val="Compact"/>
        <w:numPr>
          <w:ilvl w:val="0"/>
          <w:numId w:val="1087"/>
        </w:numPr>
      </w:pPr>
      <w:r>
        <w:t xml:space="preserve">A DEM with comparable or better resolution to the resolution of the output CEOS-ARD product shall be used if available.</w:t>
      </w:r>
      <w:r>
        <w:t xml:space="preserve"> </w:t>
      </w:r>
      <w:r>
        <w:t xml:space="preserve">Else, the upsampled DEM is identified.</w:t>
      </w:r>
    </w:p>
    <w:p>
      <w:pPr>
        <w:pStyle w:val="Compact"/>
        <w:numPr>
          <w:ilvl w:val="0"/>
          <w:numId w:val="1087"/>
        </w:numPr>
      </w:pPr>
      <w:r>
        <w:t xml:space="preserve">Resampling method used for preparation of the DEM.</w:t>
      </w:r>
    </w:p>
    <w:p>
      <w:pPr>
        <w:pStyle w:val="Compact"/>
        <w:numPr>
          <w:ilvl w:val="0"/>
          <w:numId w:val="1087"/>
        </w:numPr>
      </w:pPr>
      <w:r>
        <w:t xml:space="preserve">Method used for resampling the EGM.</w:t>
      </w:r>
    </w:p>
    <w:bookmarkEnd w:id="237"/>
    <w:bookmarkStart w:id="238" w:name="assessment-48"/>
    <w:p>
      <w:pPr>
        <w:pStyle w:val="berschrift5"/>
      </w:pPr>
      <w:r>
        <w:t xml:space="preserve">Assessment:</w:t>
      </w:r>
    </w:p>
    <w:p>
      <w:pPr>
        <w:pStyle w:val="Compact"/>
        <w:numPr>
          <w:ilvl w:val="0"/>
          <w:numId w:val="1088"/>
        </w:numPr>
      </w:pPr>
      <w:r>
        <w:t xml:space="preserve">Threshold Self-Assessment:</w:t>
      </w:r>
    </w:p>
    <w:p>
      <w:pPr>
        <w:pStyle w:val="Compact"/>
        <w:numPr>
          <w:ilvl w:val="0"/>
          <w:numId w:val="1088"/>
        </w:numPr>
      </w:pPr>
      <w:r>
        <w:t xml:space="preserve">Goal Self-Assessment:</w:t>
      </w:r>
    </w:p>
    <w:p>
      <w:pPr>
        <w:pStyle w:val="Compact"/>
        <w:numPr>
          <w:ilvl w:val="0"/>
          <w:numId w:val="1088"/>
        </w:numPr>
      </w:pPr>
      <w:r>
        <w:t xml:space="preserve">Self-Assessment Explanation/ Justification:</w:t>
      </w:r>
    </w:p>
    <w:p>
      <w:pPr>
        <w:pStyle w:val="Compact"/>
        <w:numPr>
          <w:ilvl w:val="0"/>
          <w:numId w:val="1088"/>
        </w:numPr>
      </w:pPr>
      <w:r>
        <w:t xml:space="preserve">Recommended Requirement Modification:</w:t>
      </w:r>
    </w:p>
    <w:p>
      <w:r>
        <w:pict>
          <v:rect style="width:0;height:1.5pt" o:hralign="center" o:hrstd="t" o:hr="t"/>
        </w:pict>
      </w:r>
    </w:p>
    <w:bookmarkEnd w:id="238"/>
    <w:bookmarkEnd w:id="239"/>
    <w:bookmarkStart w:id="243" w:name="sec:gcor-geomacc-sar"/>
    <w:p>
      <w:pPr>
        <w:pStyle w:val="berschrift4"/>
      </w:pPr>
      <w:r>
        <w:rPr>
          <w:rStyle w:val="VerbatimChar"/>
        </w:rPr>
        <w:t xml:space="preserve">6.3.</w:t>
      </w:r>
      <w:r>
        <w:t xml:space="preserve"> </w:t>
      </w:r>
      <w:r>
        <w:t xml:space="preserve">Geometric Accuracy</w:t>
      </w:r>
    </w:p>
    <w:p>
      <w:pPr>
        <w:pStyle w:val="FirstParagraph"/>
      </w:pPr>
      <w:r>
        <w:t xml:space="preserve">Identifier:</w:t>
      </w:r>
      <w:r>
        <w:t xml:space="preserve"> </w:t>
      </w:r>
      <w:r>
        <w:rPr>
          <w:rStyle w:val="VerbatimChar"/>
        </w:rPr>
        <w:t xml:space="preserve">gcor-geomacc-sar</w:t>
      </w:r>
    </w:p>
    <w:bookmarkStart w:id="240" w:name="threshold-requirements-49"/>
    <w:p>
      <w:pPr>
        <w:pStyle w:val="berschrift5"/>
      </w:pPr>
      <w:r>
        <w:t xml:space="preserve">Threshold requirements:</w:t>
      </w:r>
    </w:p>
    <w:p>
      <w:pPr>
        <w:pStyle w:val="FirstParagraph"/>
      </w:pPr>
      <w:r>
        <w:t xml:space="preserve">Accurate geolocation is a prerequisite to radar processing to correct for terrain and to enable interoperability between radar sensors.</w:t>
      </w:r>
    </w:p>
    <w:p>
      <w:pPr>
        <w:pStyle w:val="Textkrper"/>
      </w:pPr>
      <w:r>
        <w:t xml:space="preserve">The absolute geolocation error (ALE) for a sensor is typically assessed through analysis of Single Look Complex (SLC) imagery and measured along the slant range and azimuth directions (case A: SLC ALE).</w:t>
      </w:r>
    </w:p>
    <w:p>
      <w:pPr>
        <w:pStyle w:val="Textkrper"/>
      </w:pPr>
      <w:r>
        <w:t xml:space="preserve">The end-to-end “ARD” ALE of the final CEOS-ARD product could be measured directly in the final image product in the chosen map projection, i.e., in the map coordinate directions: e.g., Northing and Easting (case B: ARD ALE).</w:t>
      </w:r>
    </w:p>
    <w:p>
      <w:pPr>
        <w:pStyle w:val="Textkrper"/>
      </w:pPr>
      <w:r>
        <w:t xml:space="preserve">Providing accuracy estimates based on measurements following at least one scheme (A or B or both) meets the threshold requirement.</w:t>
      </w:r>
    </w:p>
    <w:p>
      <w:pPr>
        <w:pStyle w:val="Textkrper"/>
      </w:pPr>
      <w:r>
        <w:t xml:space="preserve">Estimates of the ALE is provided as a bias and a standard deviation, with (Case A) SLC ALE expressed in slant range and azimuth, and (Case B) ARD ALE expressed in map projection dimensions.</w:t>
      </w:r>
    </w:p>
    <w:p>
      <w:pPr>
        <w:pStyle w:val="Textkrper"/>
      </w:pPr>
      <w:r>
        <w:t xml:space="preserve">Notes:</w:t>
      </w:r>
    </w:p>
    <w:p>
      <w:pPr>
        <w:pStyle w:val="Compact"/>
        <w:numPr>
          <w:ilvl w:val="0"/>
          <w:numId w:val="1089"/>
        </w:numPr>
      </w:pPr>
      <w:r>
        <w:t xml:space="preserve">This assessment is often made through comparison of measured corner reflector positions with their projected location in the imagery. In some cases, other mission calibration/validation results may be used.</w:t>
      </w:r>
    </w:p>
    <w:p>
      <w:pPr>
        <w:pStyle w:val="Compact"/>
        <w:numPr>
          <w:ilvl w:val="0"/>
          <w:numId w:val="1089"/>
        </w:numPr>
      </w:pPr>
      <w:r>
        <w:t xml:space="preserve">The ALE is not typically assessed for every processed image, but through an ALE assessment by the data processing team characterizing all or (usually a subset) of the generated products.</w:t>
      </w:r>
    </w:p>
    <w:bookmarkEnd w:id="240"/>
    <w:bookmarkStart w:id="241" w:name="goal-requirements-49"/>
    <w:p>
      <w:pPr>
        <w:pStyle w:val="berschrift5"/>
      </w:pPr>
      <w:r>
        <w:t xml:space="preserve">Goal requirements:</w:t>
      </w:r>
    </w:p>
    <w:p>
      <w:pPr>
        <w:pStyle w:val="FirstParagraph"/>
      </w:pPr>
      <w:r>
        <w:t xml:space="preserve">Output product sub-sample accuracy should be less than or equal to 0.1 (slant range) pixel radial root mean square error (rRMSE).</w:t>
      </w:r>
    </w:p>
    <w:p>
      <w:pPr>
        <w:pStyle w:val="Textkrper"/>
      </w:pPr>
      <w:r>
        <w:t xml:space="preserve">Provide documentation of estimates of ALE as DOI or URL.</w:t>
      </w:r>
    </w:p>
    <w:bookmarkEnd w:id="241"/>
    <w:bookmarkStart w:id="242" w:name="assessment-49"/>
    <w:p>
      <w:pPr>
        <w:pStyle w:val="berschrift5"/>
      </w:pPr>
      <w:r>
        <w:t xml:space="preserve">Assessment:</w:t>
      </w:r>
    </w:p>
    <w:p>
      <w:pPr>
        <w:pStyle w:val="Compact"/>
        <w:numPr>
          <w:ilvl w:val="0"/>
          <w:numId w:val="1090"/>
        </w:numPr>
      </w:pPr>
      <w:r>
        <w:t xml:space="preserve">Threshold Self-Assessment:</w:t>
      </w:r>
    </w:p>
    <w:p>
      <w:pPr>
        <w:pStyle w:val="Compact"/>
        <w:numPr>
          <w:ilvl w:val="0"/>
          <w:numId w:val="1090"/>
        </w:numPr>
      </w:pPr>
      <w:r>
        <w:t xml:space="preserve">Goal Self-Assessment:</w:t>
      </w:r>
    </w:p>
    <w:p>
      <w:pPr>
        <w:pStyle w:val="Compact"/>
        <w:numPr>
          <w:ilvl w:val="0"/>
          <w:numId w:val="1090"/>
        </w:numPr>
      </w:pPr>
      <w:r>
        <w:t xml:space="preserve">Self-Assessment Explanation/ Justification:</w:t>
      </w:r>
    </w:p>
    <w:p>
      <w:pPr>
        <w:pStyle w:val="Compact"/>
        <w:numPr>
          <w:ilvl w:val="0"/>
          <w:numId w:val="1090"/>
        </w:numPr>
      </w:pPr>
      <w:r>
        <w:t xml:space="preserve">Recommended Requirement Modification:</w:t>
      </w:r>
    </w:p>
    <w:p>
      <w:r>
        <w:pict>
          <v:rect style="width:0;height:1.5pt" o:hralign="center" o:hrstd="t" o:hr="t"/>
        </w:pict>
      </w:r>
    </w:p>
    <w:bookmarkEnd w:id="242"/>
    <w:bookmarkEnd w:id="243"/>
    <w:bookmarkStart w:id="247" w:name="sec:gcor-georacc"/>
    <w:p>
      <w:pPr>
        <w:pStyle w:val="berschrift4"/>
      </w:pPr>
      <w:r>
        <w:rPr>
          <w:rStyle w:val="VerbatimChar"/>
        </w:rPr>
        <w:t xml:space="preserve">6.4.</w:t>
      </w:r>
      <w:r>
        <w:t xml:space="preserve"> </w:t>
      </w:r>
      <w:r>
        <w:t xml:space="preserve">Geometric Refined Accuracy</w:t>
      </w:r>
    </w:p>
    <w:p>
      <w:pPr>
        <w:pStyle w:val="FirstParagraph"/>
      </w:pPr>
      <w:r>
        <w:t xml:space="preserve">Identifier:</w:t>
      </w:r>
      <w:r>
        <w:t xml:space="preserve"> </w:t>
      </w:r>
      <w:r>
        <w:rPr>
          <w:rStyle w:val="VerbatimChar"/>
        </w:rPr>
        <w:t xml:space="preserve">gcor-georacc</w:t>
      </w:r>
    </w:p>
    <w:bookmarkStart w:id="244" w:name="threshold-requirements-50"/>
    <w:p>
      <w:pPr>
        <w:pStyle w:val="berschrift5"/>
      </w:pPr>
      <w:r>
        <w:t xml:space="preserve">Threshold requirements:</w:t>
      </w:r>
    </w:p>
    <w:p>
      <w:pPr>
        <w:pStyle w:val="FirstParagraph"/>
      </w:pPr>
      <w:r>
        <w:t xml:space="preserve">Not required.</w:t>
      </w:r>
      <w:r>
        <w:t xml:space="preserve"> </w:t>
      </w:r>
    </w:p>
    <w:bookmarkEnd w:id="244"/>
    <w:bookmarkStart w:id="245" w:name="goal-requirements-50"/>
    <w:p>
      <w:pPr>
        <w:pStyle w:val="berschrift5"/>
      </w:pPr>
      <w:r>
        <w:t xml:space="preserve">Goal requirements:</w:t>
      </w:r>
    </w:p>
    <w:p>
      <w:pPr>
        <w:pStyle w:val="FirstParagraph"/>
      </w:pPr>
      <w:r>
        <w:t xml:space="preserve">Values provided under Section </w:t>
      </w:r>
      <w:r>
        <w:t xml:space="preserve">“</w:t>
      </w:r>
      <w:hyperlink w:anchor="sec:gcor-geomacc-sar">
        <w:r>
          <w:rPr>
            <w:rStyle w:val="Hyperlink"/>
          </w:rPr>
          <w:t xml:space="preserve">Geometric Corrections: Geometric Accuracy</w:t>
        </w:r>
      </w:hyperlink>
      <w:r>
        <w:t xml:space="preserve">”</w:t>
      </w:r>
      <w:r>
        <w:t xml:space="preserve"> </w:t>
      </w:r>
      <w:r>
        <w:t xml:space="preserve">are provided by the SAR mission Cal/Val team.</w:t>
      </w:r>
    </w:p>
    <w:p>
      <w:pPr>
        <w:pStyle w:val="Textkrper"/>
      </w:pPr>
      <w:r>
        <w:t xml:space="preserve">CEOS-ARD processing steps could include method refining the geometric accuracy, such as cross-correlation of the SAR data in slant range with a SAR scene simulated from a DSM or DEM.</w:t>
      </w:r>
    </w:p>
    <w:p>
      <w:pPr>
        <w:pStyle w:val="Textkrper"/>
      </w:pPr>
      <w:r>
        <w:t xml:space="preserve">Methodology used (name and reference), quality flag, geometric standard deviation values should be provided.</w:t>
      </w:r>
    </w:p>
    <w:bookmarkEnd w:id="245"/>
    <w:bookmarkStart w:id="246" w:name="assessment-50"/>
    <w:p>
      <w:pPr>
        <w:pStyle w:val="berschrift5"/>
      </w:pPr>
      <w:r>
        <w:t xml:space="preserve">Assessment:</w:t>
      </w:r>
    </w:p>
    <w:p>
      <w:pPr>
        <w:pStyle w:val="Compact"/>
        <w:numPr>
          <w:ilvl w:val="0"/>
          <w:numId w:val="1091"/>
        </w:numPr>
      </w:pPr>
      <w:r>
        <w:t xml:space="preserve">Threshold Self-Assessment:</w:t>
      </w:r>
    </w:p>
    <w:p>
      <w:pPr>
        <w:pStyle w:val="Compact"/>
        <w:numPr>
          <w:ilvl w:val="0"/>
          <w:numId w:val="1091"/>
        </w:numPr>
      </w:pPr>
      <w:r>
        <w:t xml:space="preserve">Goal Self-Assessment:</w:t>
      </w:r>
    </w:p>
    <w:p>
      <w:pPr>
        <w:pStyle w:val="Compact"/>
        <w:numPr>
          <w:ilvl w:val="0"/>
          <w:numId w:val="1091"/>
        </w:numPr>
      </w:pPr>
      <w:r>
        <w:t xml:space="preserve">Self-Assessment Explanation/ Justification:</w:t>
      </w:r>
    </w:p>
    <w:p>
      <w:pPr>
        <w:pStyle w:val="Compact"/>
        <w:numPr>
          <w:ilvl w:val="0"/>
          <w:numId w:val="1091"/>
        </w:numPr>
      </w:pPr>
      <w:r>
        <w:t xml:space="preserve">Recommended Requirement Modification:</w:t>
      </w:r>
    </w:p>
    <w:p>
      <w:r>
        <w:pict>
          <v:rect style="width:0;height:1.5pt" o:hralign="center" o:hrstd="t" o:hr="t"/>
        </w:pict>
      </w:r>
    </w:p>
    <w:bookmarkEnd w:id="246"/>
    <w:bookmarkEnd w:id="247"/>
    <w:bookmarkStart w:id="251" w:name="sec:gcor-gridconv"/>
    <w:p>
      <w:pPr>
        <w:pStyle w:val="berschrift4"/>
      </w:pPr>
      <w:r>
        <w:rPr>
          <w:rStyle w:val="VerbatimChar"/>
        </w:rPr>
        <w:t xml:space="preserve">6.5.</w:t>
      </w:r>
      <w:r>
        <w:t xml:space="preserve"> </w:t>
      </w:r>
      <w:r>
        <w:t xml:space="preserve">Gridding Convention</w:t>
      </w:r>
    </w:p>
    <w:p>
      <w:pPr>
        <w:pStyle w:val="FirstParagraph"/>
      </w:pPr>
      <w:r>
        <w:t xml:space="preserve">Identifier:</w:t>
      </w:r>
      <w:r>
        <w:t xml:space="preserve"> </w:t>
      </w:r>
      <w:r>
        <w:rPr>
          <w:rStyle w:val="VerbatimChar"/>
        </w:rPr>
        <w:t xml:space="preserve">gcor-gridconv</w:t>
      </w:r>
    </w:p>
    <w:bookmarkStart w:id="248" w:name="threshold-requirements-51"/>
    <w:p>
      <w:pPr>
        <w:pStyle w:val="berschrift5"/>
      </w:pPr>
      <w:r>
        <w:t xml:space="preserve">Threshold requirements:</w:t>
      </w:r>
    </w:p>
    <w:p>
      <w:pPr>
        <w:pStyle w:val="FirstParagraph"/>
      </w:pPr>
      <w:r>
        <w:t xml:space="preserve">A consistent gridding/sampling frame is used. The origin is chosen to minimise any need for subsequent resampling between multiple products (be they from the same or different providers).</w:t>
      </w:r>
      <w:r>
        <w:t xml:space="preserve"> </w:t>
      </w:r>
      <w:r>
        <w:t xml:space="preserve">This is typically accomplished via a “snap to grid” in relation to the most proximate grid tile in a global system.</w:t>
      </w:r>
    </w:p>
    <w:p>
      <w:pPr>
        <w:pStyle w:val="Textkrper"/>
      </w:pPr>
      <w:r>
        <w:t xml:space="preserve">Note:</w:t>
      </w:r>
    </w:p>
    <w:p>
      <w:pPr>
        <w:pStyle w:val="Compact"/>
        <w:numPr>
          <w:ilvl w:val="0"/>
          <w:numId w:val="1092"/>
        </w:numPr>
      </w:pPr>
      <w:r>
        <w:t xml:space="preserve">If a product hierarchy of resolutions exists (or is planned), the multiple resolutions should nest within each other (e.g., 12.5m, 25m, 50m, 100m, etc.), and not be disjoint.</w:t>
      </w:r>
    </w:p>
    <w:bookmarkEnd w:id="248"/>
    <w:bookmarkStart w:id="249" w:name="goal-requirements-51"/>
    <w:p>
      <w:pPr>
        <w:pStyle w:val="berschrift5"/>
      </w:pPr>
      <w:r>
        <w:t xml:space="preserve">Goal requirements:</w:t>
      </w:r>
    </w:p>
    <w:p>
      <w:pPr>
        <w:pStyle w:val="FirstParagraph"/>
      </w:pPr>
      <w:r>
        <w:t xml:space="preserve">Provide DOI or URL to gridding convention used.</w:t>
      </w:r>
    </w:p>
    <w:p>
      <w:pPr>
        <w:pStyle w:val="Textkrper"/>
      </w:pPr>
      <w:r>
        <w:t xml:space="preserve">When multiple providers share a common map projection, providers are encouraged to standardise the origins of their products among each other.</w:t>
      </w:r>
    </w:p>
    <w:p>
      <w:pPr>
        <w:pStyle w:val="Textkrper"/>
      </w:pPr>
      <w:r>
        <w:t xml:space="preserve">In the case of UTM/UPS coordinates, the upper left corner coordinates should be set to an integer multiple of sample intervals from a 100 km by 100 km grid tile of the Military Grid Reference System’s 100k coordinates (“snap to grid”).</w:t>
      </w:r>
    </w:p>
    <w:p>
      <w:pPr>
        <w:pStyle w:val="Textkrper"/>
      </w:pPr>
      <w:r>
        <w:t xml:space="preserve">For products presented in geographic coordinates (latitude and longitude), the origin should be set to an integer multiple of samples in relation to the closest integer degree.</w:t>
      </w:r>
    </w:p>
    <w:bookmarkEnd w:id="249"/>
    <w:bookmarkStart w:id="250" w:name="assessment-51"/>
    <w:p>
      <w:pPr>
        <w:pStyle w:val="berschrift5"/>
      </w:pPr>
      <w:r>
        <w:t xml:space="preserve">Assessment:</w:t>
      </w:r>
    </w:p>
    <w:p>
      <w:pPr>
        <w:pStyle w:val="Compact"/>
        <w:numPr>
          <w:ilvl w:val="0"/>
          <w:numId w:val="1093"/>
        </w:numPr>
      </w:pPr>
      <w:r>
        <w:t xml:space="preserve">Threshold Self-Assessment:</w:t>
      </w:r>
    </w:p>
    <w:p>
      <w:pPr>
        <w:pStyle w:val="Compact"/>
        <w:numPr>
          <w:ilvl w:val="0"/>
          <w:numId w:val="1093"/>
        </w:numPr>
      </w:pPr>
      <w:r>
        <w:t xml:space="preserve">Goal Self-Assessment:</w:t>
      </w:r>
    </w:p>
    <w:p>
      <w:pPr>
        <w:pStyle w:val="Compact"/>
        <w:numPr>
          <w:ilvl w:val="0"/>
          <w:numId w:val="1093"/>
        </w:numPr>
      </w:pPr>
      <w:r>
        <w:t xml:space="preserve">Self-Assessment Explanation/ Justification:</w:t>
      </w:r>
    </w:p>
    <w:p>
      <w:pPr>
        <w:pStyle w:val="Compact"/>
        <w:numPr>
          <w:ilvl w:val="0"/>
          <w:numId w:val="1093"/>
        </w:numPr>
      </w:pPr>
      <w:r>
        <w:t xml:space="preserve">Recommended Requirement Modification:</w:t>
      </w:r>
    </w:p>
    <w:p>
      <w:r>
        <w:br w:type="page"/>
      </w:r>
    </w:p>
    <w:bookmarkEnd w:id="250"/>
    <w:bookmarkEnd w:id="251"/>
    <w:bookmarkEnd w:id="252"/>
    <w:bookmarkEnd w:id="253"/>
    <w:bookmarkStart w:id="260" w:name="summary-self-assessment-table"/>
    <w:p>
      <w:pPr>
        <w:pStyle w:val="berschrift2"/>
      </w:pPr>
      <w:r>
        <w:t xml:space="preserve">Summary Self-Assessment Table</w:t>
      </w:r>
    </w:p>
    <w:bookmarkStart w:id="254" w:name="general-metadata"/>
    <w:p>
      <w:pPr>
        <w:pStyle w:val="berschrift3"/>
      </w:pPr>
      <w:r>
        <w:t xml:space="preserve">General Metadata</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meta-trace-sar</w:t>
            </w:r>
          </w:p>
        </w:tc>
        <w:tc>
          <w:tcPr/>
          <w:p>
            <w:pPr>
              <w:pStyle w:val="Compact"/>
            </w:pPr>
            <w:r>
              <w:t xml:space="preserve">Traceability</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meta-memare-sar</w:t>
            </w:r>
          </w:p>
        </w:tc>
        <w:tc>
          <w:tcPr/>
          <w:p>
            <w:pPr>
              <w:pStyle w:val="Compact"/>
            </w:pPr>
            <w:r>
              <w:t xml:space="preserve">Metadata Machine Readability</w:t>
            </w:r>
          </w:p>
        </w:tc>
        <w:tc>
          <w:tcPr/>
          <w:p>
            <w:pPr>
              <w:pStyle w:val="Compact"/>
            </w:pPr>
          </w:p>
        </w:tc>
        <w:tc>
          <w:tcPr/>
          <w:p>
            <w:pPr>
              <w:pStyle w:val="Compact"/>
            </w:pPr>
          </w:p>
        </w:tc>
      </w:tr>
      <w:tr>
        <w:tc>
          <w:tcPr/>
          <w:p>
            <w:pPr>
              <w:pStyle w:val="Compact"/>
            </w:pPr>
            <w:r>
              <w:rPr>
                <w:rStyle w:val="VerbatimChar"/>
              </w:rPr>
              <w:t xml:space="preserve">meta-protype</w:t>
            </w:r>
          </w:p>
        </w:tc>
        <w:tc>
          <w:tcPr/>
          <w:p>
            <w:pPr>
              <w:pStyle w:val="Compact"/>
            </w:pPr>
            <w:r>
              <w:t xml:space="preserve">Product Type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meta-pfsurl</w:t>
            </w:r>
          </w:p>
        </w:tc>
        <w:tc>
          <w:tcPr/>
          <w:p>
            <w:pPr>
              <w:pStyle w:val="Compact"/>
            </w:pPr>
            <w:r>
              <w:t xml:space="preserve">Document Identifier</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meta-time-sar</w:t>
            </w:r>
          </w:p>
        </w:tc>
        <w:tc>
          <w:tcPr/>
          <w:p>
            <w:pPr>
              <w:pStyle w:val="Compact"/>
            </w:pPr>
            <w:r>
              <w:t xml:space="preserve">Data Collection Time</w:t>
            </w:r>
          </w:p>
        </w:tc>
        <w:tc>
          <w:tcPr/>
          <w:p>
            <w:pPr>
              <w:pStyle w:val="Compact"/>
            </w:pPr>
          </w:p>
        </w:tc>
        <w:tc>
          <w:tcPr/>
          <w:p>
            <w:pPr>
              <w:pStyle w:val="Compact"/>
              <w:jc w:val="center"/>
            </w:pPr>
            <w:r>
              <w:rPr>
                <w:i/>
                <w:iCs/>
              </w:rPr>
              <w:t xml:space="preserve">as threshold</w:t>
            </w:r>
          </w:p>
        </w:tc>
      </w:tr>
    </w:tbl>
    <w:bookmarkEnd w:id="254"/>
    <w:bookmarkStart w:id="255" w:name="source-metadata"/>
    <w:p>
      <w:pPr>
        <w:pStyle w:val="berschrift3"/>
      </w:pPr>
      <w:r>
        <w:t xml:space="preserve">Source Metadata</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src-macqid</w:t>
            </w:r>
          </w:p>
        </w:tc>
        <w:tc>
          <w:tcPr/>
          <w:p>
            <w:pPr>
              <w:pStyle w:val="Compact"/>
            </w:pPr>
            <w:r>
              <w:t xml:space="preserve">Acquisition ID</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src-daccess-src</w:t>
            </w:r>
          </w:p>
        </w:tc>
        <w:tc>
          <w:tcPr/>
          <w:p>
            <w:pPr>
              <w:pStyle w:val="Compact"/>
            </w:pPr>
            <w:r>
              <w:t xml:space="preserve">Source Data Access</w:t>
            </w:r>
          </w:p>
        </w:tc>
        <w:tc>
          <w:tcPr/>
          <w:p>
            <w:pPr>
              <w:pStyle w:val="Compact"/>
            </w:pPr>
          </w:p>
        </w:tc>
        <w:tc>
          <w:tcPr/>
          <w:p>
            <w:pPr>
              <w:pStyle w:val="Compact"/>
            </w:pPr>
          </w:p>
        </w:tc>
      </w:tr>
      <w:tr>
        <w:tc>
          <w:tcPr/>
          <w:p>
            <w:pPr>
              <w:pStyle w:val="Compact"/>
            </w:pPr>
            <w:r>
              <w:rPr>
                <w:rStyle w:val="VerbatimChar"/>
              </w:rPr>
              <w:t xml:space="preserve">src-instru-sar</w:t>
            </w:r>
          </w:p>
        </w:tc>
        <w:tc>
          <w:tcPr/>
          <w:p>
            <w:pPr>
              <w:pStyle w:val="Compact"/>
            </w:pPr>
            <w:r>
              <w:t xml:space="preserve">Instrument</w:t>
            </w:r>
          </w:p>
        </w:tc>
        <w:tc>
          <w:tcPr/>
          <w:p>
            <w:pPr>
              <w:pStyle w:val="Compact"/>
            </w:pPr>
          </w:p>
        </w:tc>
        <w:tc>
          <w:tcPr/>
          <w:p>
            <w:pPr>
              <w:pStyle w:val="Compact"/>
            </w:pPr>
          </w:p>
        </w:tc>
      </w:tr>
      <w:tr>
        <w:tc>
          <w:tcPr/>
          <w:p>
            <w:pPr>
              <w:pStyle w:val="Compact"/>
            </w:pPr>
            <w:r>
              <w:rPr>
                <w:rStyle w:val="VerbatimChar"/>
              </w:rPr>
              <w:t xml:space="preserve">src-time-src</w:t>
            </w:r>
          </w:p>
        </w:tc>
        <w:tc>
          <w:tcPr/>
          <w:p>
            <w:pPr>
              <w:pStyle w:val="Compact"/>
            </w:pPr>
            <w:r>
              <w:t xml:space="preserve">Source Data Acquisition Time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src-acqpar</w:t>
            </w:r>
          </w:p>
        </w:tc>
        <w:tc>
          <w:tcPr/>
          <w:p>
            <w:pPr>
              <w:pStyle w:val="Compact"/>
            </w:pPr>
            <w:r>
              <w:t xml:space="preserve">Source Data Acquisition Parameters</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src-orbit</w:t>
            </w:r>
          </w:p>
        </w:tc>
        <w:tc>
          <w:tcPr/>
          <w:p>
            <w:pPr>
              <w:pStyle w:val="Compact"/>
            </w:pPr>
            <w:r>
              <w:t xml:space="preserve">Source Data Orbit Information</w:t>
            </w:r>
          </w:p>
        </w:tc>
        <w:tc>
          <w:tcPr/>
          <w:p>
            <w:pPr>
              <w:pStyle w:val="Compact"/>
            </w:pPr>
          </w:p>
        </w:tc>
        <w:tc>
          <w:tcPr/>
          <w:p>
            <w:pPr>
              <w:pStyle w:val="Compact"/>
            </w:pPr>
          </w:p>
        </w:tc>
      </w:tr>
      <w:tr>
        <w:tc>
          <w:tcPr/>
          <w:p>
            <w:pPr>
              <w:pStyle w:val="Compact"/>
            </w:pPr>
            <w:r>
              <w:rPr>
                <w:rStyle w:val="VerbatimChar"/>
              </w:rPr>
              <w:t xml:space="preserve">src-propar</w:t>
            </w:r>
          </w:p>
        </w:tc>
        <w:tc>
          <w:tcPr/>
          <w:p>
            <w:pPr>
              <w:pStyle w:val="Compact"/>
            </w:pPr>
            <w:r>
              <w:t xml:space="preserve">Source Data Processing Parameters</w:t>
            </w:r>
          </w:p>
        </w:tc>
        <w:tc>
          <w:tcPr/>
          <w:p>
            <w:pPr>
              <w:pStyle w:val="Compact"/>
            </w:pPr>
          </w:p>
        </w:tc>
        <w:tc>
          <w:tcPr/>
          <w:p>
            <w:pPr>
              <w:pStyle w:val="Compact"/>
            </w:pPr>
          </w:p>
        </w:tc>
      </w:tr>
      <w:tr>
        <w:tc>
          <w:tcPr/>
          <w:p>
            <w:pPr>
              <w:pStyle w:val="Compact"/>
            </w:pPr>
            <w:r>
              <w:rPr>
                <w:rStyle w:val="VerbatimChar"/>
              </w:rPr>
              <w:t xml:space="preserve">src-imgatt-sar</w:t>
            </w:r>
          </w:p>
        </w:tc>
        <w:tc>
          <w:tcPr/>
          <w:p>
            <w:pPr>
              <w:pStyle w:val="Compact"/>
            </w:pPr>
            <w:r>
              <w:t xml:space="preserve">Source Data Image Attributes</w:t>
            </w:r>
          </w:p>
        </w:tc>
        <w:tc>
          <w:tcPr/>
          <w:p>
            <w:pPr>
              <w:pStyle w:val="Compact"/>
            </w:pPr>
          </w:p>
        </w:tc>
        <w:tc>
          <w:tcPr/>
          <w:p>
            <w:pPr>
              <w:pStyle w:val="Compact"/>
            </w:pPr>
          </w:p>
        </w:tc>
      </w:tr>
      <w:tr>
        <w:tc>
          <w:tcPr/>
          <w:p>
            <w:pPr>
              <w:pStyle w:val="Compact"/>
            </w:pPr>
            <w:r>
              <w:rPr>
                <w:rStyle w:val="VerbatimChar"/>
              </w:rPr>
              <w:t xml:space="preserve">src-sencal-sar</w:t>
            </w:r>
          </w:p>
        </w:tc>
        <w:tc>
          <w:tcPr/>
          <w:p>
            <w:pPr>
              <w:pStyle w:val="Compact"/>
            </w:pPr>
            <w:r>
              <w:t xml:space="preserve">Sensor Calibration</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src-perfind</w:t>
            </w:r>
          </w:p>
        </w:tc>
        <w:tc>
          <w:tcPr/>
          <w:p>
            <w:pPr>
              <w:pStyle w:val="Compact"/>
            </w:pPr>
            <w:r>
              <w:t xml:space="preserve">Performance Indicators</w:t>
            </w:r>
          </w:p>
        </w:tc>
        <w:tc>
          <w:tcPr/>
          <w:p>
            <w:pPr>
              <w:pStyle w:val="Compact"/>
            </w:pPr>
          </w:p>
        </w:tc>
        <w:tc>
          <w:tcPr/>
          <w:p>
            <w:pPr>
              <w:pStyle w:val="Compact"/>
            </w:pPr>
          </w:p>
        </w:tc>
      </w:tr>
      <w:tr>
        <w:tc>
          <w:tcPr/>
          <w:p>
            <w:pPr>
              <w:pStyle w:val="Compact"/>
            </w:pPr>
            <w:r>
              <w:rPr>
                <w:rStyle w:val="VerbatimChar"/>
              </w:rPr>
              <w:t xml:space="preserve">src-polcalm</w:t>
            </w:r>
          </w:p>
        </w:tc>
        <w:tc>
          <w:tcPr/>
          <w:p>
            <w:pPr>
              <w:pStyle w:val="Compact"/>
            </w:pPr>
            <w:r>
              <w:t xml:space="preserve">Polarimetric Calibration Matrices</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src-farotan</w:t>
            </w:r>
          </w:p>
        </w:tc>
        <w:tc>
          <w:tcPr/>
          <w:p>
            <w:pPr>
              <w:pStyle w:val="Compact"/>
            </w:pPr>
            <w:r>
              <w:t xml:space="preserve">Mean Faraday Rotation Angle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src-ionind</w:t>
            </w:r>
          </w:p>
        </w:tc>
        <w:tc>
          <w:tcPr/>
          <w:p>
            <w:pPr>
              <w:pStyle w:val="Compact"/>
            </w:pPr>
            <w:r>
              <w:t xml:space="preserve">Ionosphere Indicator</w:t>
            </w:r>
          </w:p>
        </w:tc>
        <w:tc>
          <w:tcPr/>
          <w:p>
            <w:pPr>
              <w:pStyle w:val="Compact"/>
              <w:jc w:val="center"/>
            </w:pPr>
            <w:r>
              <w:rPr>
                <w:i/>
                <w:iCs/>
              </w:rPr>
              <w:t xml:space="preserve">not required</w:t>
            </w:r>
          </w:p>
        </w:tc>
        <w:tc>
          <w:tcPr/>
          <w:p>
            <w:pPr>
              <w:pStyle w:val="Compact"/>
            </w:pPr>
          </w:p>
        </w:tc>
      </w:tr>
    </w:tbl>
    <w:bookmarkEnd w:id="255"/>
    <w:bookmarkStart w:id="256" w:name="product-metadata"/>
    <w:p>
      <w:pPr>
        <w:pStyle w:val="berschrift3"/>
      </w:pPr>
      <w:r>
        <w:t xml:space="preserve">Product Metadata</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prd-daccess-prod</w:t>
            </w:r>
          </w:p>
        </w:tc>
        <w:tc>
          <w:tcPr/>
          <w:p>
            <w:pPr>
              <w:pStyle w:val="Compact"/>
            </w:pPr>
            <w:r>
              <w:t xml:space="preserve">Product Data Access</w:t>
            </w:r>
          </w:p>
        </w:tc>
        <w:tc>
          <w:tcPr/>
          <w:p>
            <w:pPr>
              <w:pStyle w:val="Compact"/>
            </w:pPr>
          </w:p>
        </w:tc>
        <w:tc>
          <w:tcPr/>
          <w:p>
            <w:pPr>
              <w:pStyle w:val="Compact"/>
            </w:pPr>
          </w:p>
        </w:tc>
      </w:tr>
      <w:tr>
        <w:tc>
          <w:tcPr/>
          <w:p>
            <w:pPr>
              <w:pStyle w:val="Compact"/>
            </w:pPr>
            <w:r>
              <w:rPr>
                <w:rStyle w:val="VerbatimChar"/>
              </w:rPr>
              <w:t xml:space="preserve">prd-auxdat-sar</w:t>
            </w:r>
          </w:p>
        </w:tc>
        <w:tc>
          <w:tcPr/>
          <w:p>
            <w:pPr>
              <w:pStyle w:val="Compact"/>
            </w:pPr>
            <w:r>
              <w:t xml:space="preserve">Auxiliary Data</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prd-samspa</w:t>
            </w:r>
          </w:p>
        </w:tc>
        <w:tc>
          <w:tcPr/>
          <w:p>
            <w:pPr>
              <w:pStyle w:val="Compact"/>
            </w:pPr>
            <w:r>
              <w:t xml:space="preserve">Product Sample Spacing</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prd-enl</w:t>
            </w:r>
          </w:p>
        </w:tc>
        <w:tc>
          <w:tcPr/>
          <w:p>
            <w:pPr>
              <w:pStyle w:val="Compact"/>
            </w:pPr>
            <w:r>
              <w:t xml:space="preserve">Product Equivalent Number of Looks</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prd-resol</w:t>
            </w:r>
          </w:p>
        </w:tc>
        <w:tc>
          <w:tcPr/>
          <w:p>
            <w:pPr>
              <w:pStyle w:val="Compact"/>
            </w:pPr>
            <w:r>
              <w:t xml:space="preserve">Product Resolution</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prd-spekfil</w:t>
            </w:r>
          </w:p>
        </w:tc>
        <w:tc>
          <w:tcPr/>
          <w:p>
            <w:pPr>
              <w:pStyle w:val="Compact"/>
            </w:pPr>
            <w:r>
              <w:t xml:space="preserve">Product Filtering</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prd-geobbox</w:t>
            </w:r>
          </w:p>
        </w:tc>
        <w:tc>
          <w:tcPr/>
          <w:p>
            <w:pPr>
              <w:pStyle w:val="Compact"/>
            </w:pPr>
            <w:r>
              <w:t xml:space="preserve">Product Bounding Box</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prd-geoarea-sar</w:t>
            </w:r>
          </w:p>
        </w:tc>
        <w:tc>
          <w:tcPr/>
          <w:p>
            <w:pPr>
              <w:pStyle w:val="Compact"/>
            </w:pPr>
            <w:r>
              <w:t xml:space="preserve">Product Geographical Extent</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prd-imgsize</w:t>
            </w:r>
          </w:p>
        </w:tc>
        <w:tc>
          <w:tcPr/>
          <w:p>
            <w:pPr>
              <w:pStyle w:val="Compact"/>
            </w:pPr>
            <w:r>
              <w:t xml:space="preserve">Product Image Size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prd-pixcoco</w:t>
            </w:r>
          </w:p>
        </w:tc>
        <w:tc>
          <w:tcPr/>
          <w:p>
            <w:pPr>
              <w:pStyle w:val="Compact"/>
            </w:pPr>
            <w:r>
              <w:t xml:space="preserve">Product Pixel Coordinate Convention</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prd-crs-sar</w:t>
            </w:r>
          </w:p>
        </w:tc>
        <w:tc>
          <w:tcPr/>
          <w:p>
            <w:pPr>
              <w:pStyle w:val="Compact"/>
            </w:pPr>
            <w:r>
              <w:t xml:space="preserve">Product Coordinate Reference System</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prd-reorbit-nrb-pol</w:t>
            </w:r>
          </w:p>
        </w:tc>
        <w:tc>
          <w:tcPr/>
          <w:p>
            <w:pPr>
              <w:pStyle w:val="Compact"/>
            </w:pPr>
            <w:r>
              <w:t xml:space="preserve">Reference Orbit</w:t>
            </w:r>
          </w:p>
        </w:tc>
        <w:tc>
          <w:tcPr/>
          <w:p>
            <w:pPr>
              <w:pStyle w:val="Compact"/>
              <w:jc w:val="center"/>
            </w:pPr>
            <w:r>
              <w:rPr>
                <w:i/>
                <w:iCs/>
              </w:rPr>
              <w:t xml:space="preserve">not required</w:t>
            </w:r>
          </w:p>
        </w:tc>
        <w:tc>
          <w:tcPr/>
          <w:p>
            <w:pPr>
              <w:pStyle w:val="Compact"/>
            </w:pPr>
          </w:p>
        </w:tc>
      </w:tr>
    </w:tbl>
    <w:bookmarkEnd w:id="256"/>
    <w:bookmarkStart w:id="257" w:name="per-pixel-metadata"/>
    <w:p>
      <w:pPr>
        <w:pStyle w:val="berschrift3"/>
      </w:pPr>
      <w:r>
        <w:t xml:space="preserve">Per-Pixel Metadata</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pxl-cngform</w:t>
            </w:r>
          </w:p>
        </w:tc>
        <w:tc>
          <w:tcPr/>
          <w:p>
            <w:pPr>
              <w:pStyle w:val="Compact"/>
            </w:pPr>
            <w:r>
              <w:t xml:space="preserve">Cloud Optimized Formats</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pxl-memare-sar</w:t>
            </w:r>
          </w:p>
        </w:tc>
        <w:tc>
          <w:tcPr/>
          <w:p>
            <w:pPr>
              <w:pStyle w:val="Compact"/>
            </w:pPr>
            <w:r>
              <w:t xml:space="preserve">Metadata Machine Readability</w:t>
            </w:r>
          </w:p>
        </w:tc>
        <w:tc>
          <w:tcPr/>
          <w:p>
            <w:pPr>
              <w:pStyle w:val="Compact"/>
            </w:pPr>
          </w:p>
        </w:tc>
        <w:tc>
          <w:tcPr/>
          <w:p>
            <w:pPr>
              <w:pStyle w:val="Compact"/>
            </w:pPr>
          </w:p>
        </w:tc>
      </w:tr>
      <w:tr>
        <w:tc>
          <w:tcPr/>
          <w:p>
            <w:pPr>
              <w:pStyle w:val="Compact"/>
            </w:pPr>
            <w:r>
              <w:rPr>
                <w:rStyle w:val="VerbatimChar"/>
              </w:rPr>
              <w:t xml:space="preserve">pxl-damaski</w:t>
            </w:r>
          </w:p>
        </w:tc>
        <w:tc>
          <w:tcPr/>
          <w:p>
            <w:pPr>
              <w:pStyle w:val="Compact"/>
            </w:pPr>
            <w:r>
              <w:t xml:space="preserve">Data Mask Image</w:t>
            </w:r>
          </w:p>
        </w:tc>
        <w:tc>
          <w:tcPr/>
          <w:p>
            <w:pPr>
              <w:pStyle w:val="Compact"/>
            </w:pPr>
          </w:p>
        </w:tc>
        <w:tc>
          <w:tcPr/>
          <w:p>
            <w:pPr>
              <w:pStyle w:val="Compact"/>
            </w:pPr>
          </w:p>
        </w:tc>
      </w:tr>
      <w:tr>
        <w:tc>
          <w:tcPr/>
          <w:p>
            <w:pPr>
              <w:pStyle w:val="Compact"/>
            </w:pPr>
            <w:r>
              <w:rPr>
                <w:rStyle w:val="VerbatimChar"/>
              </w:rPr>
              <w:t xml:space="preserve">pxl-piscata</w:t>
            </w:r>
          </w:p>
        </w:tc>
        <w:tc>
          <w:tcPr/>
          <w:p>
            <w:pPr>
              <w:pStyle w:val="Compact"/>
            </w:pPr>
            <w:r>
              <w:t xml:space="preserve">Scattering Area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pxl-ploinca</w:t>
            </w:r>
          </w:p>
        </w:tc>
        <w:tc>
          <w:tcPr/>
          <w:p>
            <w:pPr>
              <w:pStyle w:val="Compact"/>
            </w:pPr>
            <w:r>
              <w:t xml:space="preserve">Local Incident Angle Image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pxl-pelinca</w:t>
            </w:r>
          </w:p>
        </w:tc>
        <w:tc>
          <w:tcPr/>
          <w:p>
            <w:pPr>
              <w:pStyle w:val="Compact"/>
            </w:pPr>
            <w:r>
              <w:t xml:space="preserve">Ellipsoidal Incident Angle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pxl-pinopow</w:t>
            </w:r>
          </w:p>
        </w:tc>
        <w:tc>
          <w:tcPr/>
          <w:p>
            <w:pPr>
              <w:pStyle w:val="Compact"/>
            </w:pPr>
            <w:r>
              <w:t xml:space="preserve">Noise Power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pxl-gasiri</w:t>
            </w:r>
          </w:p>
        </w:tc>
        <w:tc>
          <w:tcPr/>
          <w:p>
            <w:pPr>
              <w:pStyle w:val="Compact"/>
            </w:pPr>
            <w:r>
              <w:t xml:space="preserve">Gamma-to-Sigma Ratio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pxl-pacqid</w:t>
            </w:r>
          </w:p>
        </w:tc>
        <w:tc>
          <w:tcPr/>
          <w:p>
            <w:pPr>
              <w:pStyle w:val="Compact"/>
            </w:pPr>
            <w:r>
              <w:t xml:space="preserve">Acquisition ID Image</w:t>
            </w:r>
          </w:p>
        </w:tc>
        <w:tc>
          <w:tcPr/>
          <w:p>
            <w:pPr>
              <w:pStyle w:val="Compact"/>
            </w:pPr>
          </w:p>
        </w:tc>
        <w:tc>
          <w:tcPr/>
          <w:p>
            <w:pPr>
              <w:pStyle w:val="Compact"/>
            </w:pPr>
          </w:p>
        </w:tc>
      </w:tr>
      <w:tr>
        <w:tc>
          <w:tcPr/>
          <w:p>
            <w:pPr>
              <w:pStyle w:val="Compact"/>
            </w:pPr>
            <w:r>
              <w:rPr>
                <w:rStyle w:val="VerbatimChar"/>
              </w:rPr>
              <w:t xml:space="preserve">pxl-pidem</w:t>
            </w:r>
          </w:p>
        </w:tc>
        <w:tc>
          <w:tcPr/>
          <w:p>
            <w:pPr>
              <w:pStyle w:val="Compact"/>
            </w:pPr>
            <w:r>
              <w:t xml:space="preserve">Per-Pixel DEM</w:t>
            </w:r>
          </w:p>
        </w:tc>
        <w:tc>
          <w:tcPr/>
          <w:p>
            <w:pPr>
              <w:pStyle w:val="Compact"/>
              <w:jc w:val="center"/>
            </w:pPr>
            <w:r>
              <w:rPr>
                <w:i/>
                <w:iCs/>
              </w:rPr>
              <w:t xml:space="preserve">not required</w:t>
            </w:r>
          </w:p>
        </w:tc>
        <w:tc>
          <w:tcPr/>
          <w:p>
            <w:pPr>
              <w:pStyle w:val="Compact"/>
            </w:pPr>
          </w:p>
        </w:tc>
      </w:tr>
    </w:tbl>
    <w:bookmarkEnd w:id="257"/>
    <w:bookmarkStart w:id="258" w:name="radiometrically-corrected-measurements"/>
    <w:p>
      <w:pPr>
        <w:pStyle w:val="berschrift3"/>
      </w:pPr>
      <w:r>
        <w:t xml:space="preserve">Radiometrically Corrected Measurements</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rcm-cngform</w:t>
            </w:r>
          </w:p>
        </w:tc>
        <w:tc>
          <w:tcPr/>
          <w:p>
            <w:pPr>
              <w:pStyle w:val="Compact"/>
            </w:pPr>
            <w:r>
              <w:t xml:space="preserve">Cloud Optimized Formats</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rcm-backsca-nrb</w:t>
            </w:r>
          </w:p>
        </w:tc>
        <w:tc>
          <w:tcPr/>
          <w:p>
            <w:pPr>
              <w:pStyle w:val="Compact"/>
            </w:pPr>
            <w:r>
              <w:t xml:space="preserve">Backscatter Measurements (NRB)</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rcm-scaconv</w:t>
            </w:r>
          </w:p>
        </w:tc>
        <w:tc>
          <w:tcPr/>
          <w:p>
            <w:pPr>
              <w:pStyle w:val="Compact"/>
            </w:pPr>
            <w:r>
              <w:t xml:space="preserve">Scaling Conversion</w:t>
            </w:r>
          </w:p>
        </w:tc>
        <w:tc>
          <w:tcPr/>
          <w:p>
            <w:pPr>
              <w:pStyle w:val="Compact"/>
            </w:pPr>
          </w:p>
        </w:tc>
        <w:tc>
          <w:tcPr/>
          <w:p>
            <w:pPr>
              <w:pStyle w:val="Compact"/>
            </w:pPr>
          </w:p>
        </w:tc>
      </w:tr>
      <w:tr>
        <w:tc>
          <w:tcPr/>
          <w:p>
            <w:pPr>
              <w:pStyle w:val="Compact"/>
            </w:pPr>
            <w:r>
              <w:rPr>
                <w:rStyle w:val="VerbatimChar"/>
              </w:rPr>
              <w:t xml:space="preserve">rcm-noiser</w:t>
            </w:r>
          </w:p>
        </w:tc>
        <w:tc>
          <w:tcPr/>
          <w:p>
            <w:pPr>
              <w:pStyle w:val="Compact"/>
            </w:pPr>
            <w:r>
              <w:t xml:space="preserve">Noise Removal</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rcm-radtalg</w:t>
            </w:r>
          </w:p>
        </w:tc>
        <w:tc>
          <w:tcPr/>
          <w:p>
            <w:pPr>
              <w:pStyle w:val="Compact"/>
            </w:pPr>
            <w:r>
              <w:t xml:space="preserve">Radiometric Terrain Correction Algorithm</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rcm-radacc-sar</w:t>
            </w:r>
          </w:p>
        </w:tc>
        <w:tc>
          <w:tcPr/>
          <w:p>
            <w:pPr>
              <w:pStyle w:val="Compact"/>
            </w:pPr>
            <w:r>
              <w:t xml:space="preserve">Radiometric Accuracy</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rcm-flapha</w:t>
            </w:r>
          </w:p>
        </w:tc>
        <w:tc>
          <w:tcPr/>
          <w:p>
            <w:pPr>
              <w:pStyle w:val="Compact"/>
            </w:pPr>
            <w:r>
              <w:t xml:space="preserve">Flattened Phase</w:t>
            </w:r>
          </w:p>
        </w:tc>
        <w:tc>
          <w:tcPr/>
          <w:p>
            <w:pPr>
              <w:pStyle w:val="Compact"/>
              <w:jc w:val="center"/>
            </w:pPr>
            <w:r>
              <w:rPr>
                <w:i/>
                <w:iCs/>
              </w:rPr>
              <w:t xml:space="preserve">not required</w:t>
            </w:r>
          </w:p>
        </w:tc>
        <w:tc>
          <w:tcPr/>
          <w:p>
            <w:pPr>
              <w:pStyle w:val="Compact"/>
            </w:pPr>
          </w:p>
        </w:tc>
      </w:tr>
    </w:tbl>
    <w:bookmarkEnd w:id="258"/>
    <w:bookmarkStart w:id="259" w:name="geometric-corrections"/>
    <w:p>
      <w:pPr>
        <w:pStyle w:val="berschrift3"/>
      </w:pPr>
      <w:r>
        <w:t xml:space="preserve">Geometric Corrections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gcor-geocalg</w:t>
            </w:r>
          </w:p>
        </w:tc>
        <w:tc>
          <w:tcPr/>
          <w:p>
            <w:pPr>
              <w:pStyle w:val="Compact"/>
            </w:pPr>
            <w:r>
              <w:t xml:space="preserve">Geometric Correction Algorithm</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gcor-cdem</w:t>
            </w:r>
          </w:p>
        </w:tc>
        <w:tc>
          <w:tcPr/>
          <w:p>
            <w:pPr>
              <w:pStyle w:val="Compact"/>
            </w:pPr>
            <w:r>
              <w:t xml:space="preserve">Digital Elevation Model</w:t>
            </w:r>
          </w:p>
        </w:tc>
        <w:tc>
          <w:tcPr/>
          <w:p>
            <w:pPr>
              <w:pStyle w:val="Compact"/>
            </w:pPr>
          </w:p>
        </w:tc>
        <w:tc>
          <w:tcPr/>
          <w:p>
            <w:pPr>
              <w:pStyle w:val="Compact"/>
            </w:pPr>
          </w:p>
        </w:tc>
      </w:tr>
      <w:tr>
        <w:tc>
          <w:tcPr/>
          <w:p>
            <w:pPr>
              <w:pStyle w:val="Compact"/>
            </w:pPr>
            <w:r>
              <w:rPr>
                <w:rStyle w:val="VerbatimChar"/>
              </w:rPr>
              <w:t xml:space="preserve">gcor-geomacc-sar</w:t>
            </w:r>
          </w:p>
        </w:tc>
        <w:tc>
          <w:tcPr/>
          <w:p>
            <w:pPr>
              <w:pStyle w:val="Compact"/>
            </w:pPr>
            <w:r>
              <w:t xml:space="preserve">Geometric Accuracy</w:t>
            </w:r>
          </w:p>
        </w:tc>
        <w:tc>
          <w:tcPr/>
          <w:p>
            <w:pPr>
              <w:pStyle w:val="Compact"/>
            </w:pPr>
          </w:p>
        </w:tc>
        <w:tc>
          <w:tcPr/>
          <w:p>
            <w:pPr>
              <w:pStyle w:val="Compact"/>
            </w:pPr>
          </w:p>
        </w:tc>
      </w:tr>
      <w:tr>
        <w:tc>
          <w:tcPr/>
          <w:p>
            <w:pPr>
              <w:pStyle w:val="Compact"/>
            </w:pPr>
            <w:r>
              <w:rPr>
                <w:rStyle w:val="VerbatimChar"/>
              </w:rPr>
              <w:t xml:space="preserve">gcor-georacc</w:t>
            </w:r>
          </w:p>
        </w:tc>
        <w:tc>
          <w:tcPr/>
          <w:p>
            <w:pPr>
              <w:pStyle w:val="Compact"/>
            </w:pPr>
            <w:r>
              <w:t xml:space="preserve">Geometric Refined Accuracy</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gcor-gridconv</w:t>
            </w:r>
          </w:p>
        </w:tc>
        <w:tc>
          <w:tcPr/>
          <w:p>
            <w:pPr>
              <w:pStyle w:val="Compact"/>
            </w:pPr>
            <w:r>
              <w:t xml:space="preserve">Gridding Convention</w:t>
            </w:r>
          </w:p>
        </w:tc>
        <w:tc>
          <w:tcPr/>
          <w:p>
            <w:pPr>
              <w:pStyle w:val="Compact"/>
            </w:pPr>
          </w:p>
        </w:tc>
        <w:tc>
          <w:tcPr/>
          <w:p>
            <w:pPr>
              <w:pStyle w:val="Compact"/>
            </w:pPr>
          </w:p>
        </w:tc>
      </w:tr>
    </w:tbl>
    <w:p>
      <w:r>
        <w:br w:type="page"/>
      </w:r>
    </w:p>
    <w:bookmarkEnd w:id="259"/>
    <w:bookmarkEnd w:id="260"/>
    <w:bookmarkStart w:id="265" w:name="introduction"/>
    <w:p>
      <w:pPr>
        <w:pStyle w:val="berschrift2"/>
      </w:pPr>
      <w:r>
        <w:t xml:space="preserve">Introduction</w:t>
      </w:r>
    </w:p>
    <w:p>
      <w:pPr>
        <w:pStyle w:val="FirstParagraph"/>
      </w:pPr>
      <w:r>
        <w:t xml:space="preserve">This section aims to provide background and specific information on the processing steps that can be</w:t>
      </w:r>
      <w:r>
        <w:t xml:space="preserve"> </w:t>
      </w:r>
      <w:r>
        <w:t xml:space="preserve">used to achieve analysis ready data for a specific and well-developed Product Family Specification.</w:t>
      </w:r>
      <w:r>
        <w:t xml:space="preserve"> </w:t>
      </w:r>
      <w:r>
        <w:t xml:space="preserve">This Guidance material does not replace or override the specifications.</w:t>
      </w:r>
    </w:p>
    <w:bookmarkStart w:id="261" w:name="sec:intro-what-are-ceos-ard-products"/>
    <w:p>
      <w:pPr>
        <w:pStyle w:val="berschrift3"/>
      </w:pPr>
      <w:r>
        <w:t xml:space="preserve">What is CEOS Analysis Ready Data?</w:t>
      </w:r>
    </w:p>
    <w:p>
      <w:pPr>
        <w:pStyle w:val="FirstParagraph"/>
      </w:pPr>
      <w:r>
        <w:t xml:space="preserve">CEOS-ARD are products that have been processed to a minimum set of requirements and organized into a form that allows immediate analysis with a minimum of additional user effort.</w:t>
      </w:r>
      <w:r>
        <w:t xml:space="preserve"> </w:t>
      </w:r>
      <w:r>
        <w:t xml:space="preserve">In general, these products would be resampled onto a common geometric grid (for a given product) and would provide baseline data for further interoperability both through time and with other datasets.</w:t>
      </w:r>
    </w:p>
    <w:p>
      <w:pPr>
        <w:pStyle w:val="Textkrper"/>
      </w:pPr>
      <w:r>
        <w:t xml:space="preserve">CEOS-ARD products are intended to be flexible and accessible products suitable for a wide range of users for a wide variety of applications, including particularly time series analysis and multi-sensor application development.</w:t>
      </w:r>
      <w:r>
        <w:t xml:space="preserve"> </w:t>
      </w:r>
      <w:r>
        <w:t xml:space="preserve">They are also intended to support rapid ingestion and exploitation via high-performance computing, cloud computing and other future data architectures.</w:t>
      </w:r>
      <w:r>
        <w:t xml:space="preserve"> </w:t>
      </w:r>
      <w:r>
        <w:t xml:space="preserve">They may not be suitable for all purposes and are not intended as a</w:t>
      </w:r>
      <w:r>
        <w:t xml:space="preserve"> </w:t>
      </w:r>
      <w:r>
        <w:rPr>
          <w:i/>
          <w:iCs/>
        </w:rPr>
        <w:t xml:space="preserve">replacement</w:t>
      </w:r>
      <w:r>
        <w:t xml:space="preserve"> </w:t>
      </w:r>
      <w:r>
        <w:t xml:space="preserve">for other types of satellite products.</w:t>
      </w:r>
    </w:p>
    <w:bookmarkEnd w:id="261"/>
    <w:bookmarkStart w:id="263" w:name="sec:intro-when-is-a-product-ceos-ard"/>
    <w:p>
      <w:pPr>
        <w:pStyle w:val="berschrift3"/>
      </w:pPr>
      <w:r>
        <w:t xml:space="preserve">When can a product be called CEOS-ARD?</w:t>
      </w:r>
    </w:p>
    <w:p>
      <w:pPr>
        <w:pStyle w:val="FirstParagraph"/>
      </w:pPr>
      <w:r>
        <w:t xml:space="preserve">The CEOS-ARD branding is applied to a particular product once:</w:t>
      </w:r>
    </w:p>
    <w:p>
      <w:pPr>
        <w:pStyle w:val="Compact"/>
        <w:numPr>
          <w:ilvl w:val="0"/>
          <w:numId w:val="1094"/>
        </w:numPr>
      </w:pPr>
      <w:r>
        <w:t xml:space="preserve">that product has been assessed as meeting CEOS-ARD requirements by the agency responsible for production and distribution of the product, and</w:t>
      </w:r>
    </w:p>
    <w:p>
      <w:pPr>
        <w:pStyle w:val="Compact"/>
        <w:numPr>
          <w:ilvl w:val="0"/>
          <w:numId w:val="1094"/>
        </w:numPr>
      </w:pPr>
      <w:r>
        <w:t xml:space="preserve">that the assessment has been peer reviewed by the relevant CEOS team(s).</w:t>
      </w:r>
    </w:p>
    <w:p>
      <w:pPr>
        <w:pStyle w:val="FirstParagraph"/>
      </w:pPr>
      <w:r>
        <w:t xml:space="preserve">Agencies or other entities considering undertaking an assessment process should consult the</w:t>
      </w:r>
      <w:r>
        <w:t xml:space="preserve"> </w:t>
      </w:r>
      <w:hyperlink r:id="rId262">
        <w:r>
          <w:rPr>
            <w:rStyle w:val="Hyperlink"/>
          </w:rPr>
          <w:t xml:space="preserve">CEOS-ARD Governance Framework</w:t>
        </w:r>
      </w:hyperlink>
      <w:r>
        <w:t xml:space="preserve">.</w:t>
      </w:r>
    </w:p>
    <w:p>
      <w:pPr>
        <w:pStyle w:val="Textkrper"/>
      </w:pPr>
      <w:r>
        <w:t xml:space="preserve">A product can continue to use CEOS-ARD branding as long as its generation and distribution remain consistent with the peer-reviewed assessment.</w:t>
      </w:r>
    </w:p>
    <w:bookmarkEnd w:id="263"/>
    <w:bookmarkStart w:id="264" w:name="sec:intro-difference-threshold-goal"/>
    <w:p>
      <w:pPr>
        <w:pStyle w:val="berschrift3"/>
      </w:pPr>
      <w:r>
        <w:t xml:space="preserve">What is the difference between Threshold and Goal?</w:t>
      </w:r>
    </w:p>
    <w:p>
      <w:pPr>
        <w:pStyle w:val="FirstParagraph"/>
      </w:pPr>
      <w:r>
        <w:rPr>
          <w:b/>
          <w:bCs/>
        </w:rPr>
        <w:t xml:space="preserve">Threshold</w:t>
      </w:r>
      <w:r>
        <w:t xml:space="preserve"> </w:t>
      </w:r>
      <w:r>
        <w:t xml:space="preserve">(Minimum) requirements are the</w:t>
      </w:r>
      <w:r>
        <w:t xml:space="preserve"> </w:t>
      </w:r>
      <w:r>
        <w:rPr>
          <w:b/>
          <w:bCs/>
        </w:rPr>
        <w:t xml:space="preserve">minimum</w:t>
      </w:r>
      <w:r>
        <w:t xml:space="preserve"> </w:t>
      </w:r>
      <w:r>
        <w:t xml:space="preserve">that is needed for the data to be analysis ready.</w:t>
      </w:r>
      <w:r>
        <w:t xml:space="preserve"> </w:t>
      </w:r>
      <w:r>
        <w:t xml:space="preserve">This must be practical and accepted by the data producers.</w:t>
      </w:r>
    </w:p>
    <w:p>
      <w:pPr>
        <w:pStyle w:val="Textkrper"/>
      </w:pPr>
      <w:r>
        <w:rPr>
          <w:b/>
          <w:bCs/>
        </w:rPr>
        <w:t xml:space="preserve">Goal</w:t>
      </w:r>
      <w:r>
        <w:t xml:space="preserve"> </w:t>
      </w:r>
      <w:r>
        <w:t xml:space="preserve">(Desired) requirements (previously referred to as “Target”) are the ideal; where we would like to be.</w:t>
      </w:r>
      <w:r>
        <w:t xml:space="preserve"> </w:t>
      </w:r>
      <w:r>
        <w:t xml:space="preserve">Some providers may already meet these.</w:t>
      </w:r>
    </w:p>
    <w:p>
      <w:pPr>
        <w:pStyle w:val="Textkrper"/>
      </w:pPr>
      <w:r>
        <w:t xml:space="preserve">Products that meet all</w:t>
      </w:r>
      <w:r>
        <w:t xml:space="preserve"> </w:t>
      </w:r>
      <w:r>
        <w:rPr>
          <w:i/>
          <w:iCs/>
        </w:rPr>
        <w:t xml:space="preserve">threshold</w:t>
      </w:r>
      <w:r>
        <w:t xml:space="preserve"> </w:t>
      </w:r>
      <w:r>
        <w:t xml:space="preserve">requirements should be immediately useful for scientific analysis or decision-making.</w:t>
      </w:r>
    </w:p>
    <w:p>
      <w:pPr>
        <w:pStyle w:val="Textkrper"/>
      </w:pPr>
      <w:r>
        <w:t xml:space="preserve">Products that meet</w:t>
      </w:r>
      <w:r>
        <w:t xml:space="preserve"> </w:t>
      </w:r>
      <w:r>
        <w:rPr>
          <w:i/>
          <w:iCs/>
        </w:rPr>
        <w:t xml:space="preserve">goal</w:t>
      </w:r>
      <w:r>
        <w:t xml:space="preserve"> </w:t>
      </w:r>
      <w:r>
        <w:t xml:space="preserve">requirements will reduce the overall product uncertainties and enhance broad-scale applications.</w:t>
      </w:r>
      <w:r>
        <w:t xml:space="preserve"> </w:t>
      </w:r>
      <w:r>
        <w:t xml:space="preserve">For example, the products may enhance interoperability or provide increased accuracy through additional corrections that are not reasonable at the</w:t>
      </w:r>
      <w:r>
        <w:t xml:space="preserve"> </w:t>
      </w:r>
      <w:r>
        <w:rPr>
          <w:i/>
          <w:iCs/>
        </w:rPr>
        <w:t xml:space="preserve">threshold</w:t>
      </w:r>
      <w:r>
        <w:t xml:space="preserve"> </w:t>
      </w:r>
      <w:r>
        <w:t xml:space="preserve">level.</w:t>
      </w:r>
    </w:p>
    <w:p>
      <w:pPr>
        <w:pStyle w:val="Textkrper"/>
      </w:pPr>
      <w:r>
        <w:t xml:space="preserve">Goal requirements anticipate continuous improvement of methods and evolution of community expectations, which are both normal and inevitable in a developing field.</w:t>
      </w:r>
      <w:r>
        <w:t xml:space="preserve"> </w:t>
      </w:r>
      <w:r>
        <w:t xml:space="preserve">Over time,</w:t>
      </w:r>
      <w:r>
        <w:t xml:space="preserve"> </w:t>
      </w:r>
      <w:r>
        <w:rPr>
          <w:i/>
          <w:iCs/>
        </w:rPr>
        <w:t xml:space="preserve">goal</w:t>
      </w:r>
      <w:r>
        <w:t xml:space="preserve"> </w:t>
      </w:r>
      <w:r>
        <w:t xml:space="preserve">specifications may (and subject to due process) become accepted as</w:t>
      </w:r>
      <w:r>
        <w:t xml:space="preserve"> </w:t>
      </w:r>
      <w:r>
        <w:rPr>
          <w:i/>
          <w:iCs/>
        </w:rPr>
        <w:t xml:space="preserve">threshold</w:t>
      </w:r>
      <w:r>
        <w:t xml:space="preserve"> </w:t>
      </w:r>
      <w:r>
        <w:t xml:space="preserve">requirements.</w:t>
      </w:r>
    </w:p>
    <w:p>
      <w:r>
        <w:br w:type="page"/>
      </w:r>
    </w:p>
    <w:bookmarkEnd w:id="264"/>
    <w:bookmarkEnd w:id="265"/>
    <w:bookmarkStart w:id="282" w:name="references"/>
    <w:p>
      <w:pPr>
        <w:pStyle w:val="berschrift2"/>
      </w:pPr>
      <w:r>
        <w:t xml:space="preserve">References</w:t>
      </w:r>
    </w:p>
    <w:bookmarkStart w:id="281" w:name="refs"/>
    <w:bookmarkStart w:id="266" w:name="ref-iso19115_2_2009"/>
    <w:p>
      <w:pPr>
        <w:pStyle w:val="Literaturverzeichnis"/>
      </w:pPr>
      <w:r>
        <w:t xml:space="preserve">International Organization for Standardization. 2009.</w:t>
      </w:r>
      <w:r>
        <w:t xml:space="preserve"> </w:t>
      </w:r>
      <w:r>
        <w:rPr>
          <w:i/>
          <w:iCs/>
        </w:rPr>
        <w:t xml:space="preserve">Geographic information — Metadata — Part 2: Extensions for imagery and gridded data</w:t>
      </w:r>
      <w:r>
        <w:t xml:space="preserve">. Standard. International Organization for Standardization.</w:t>
      </w:r>
    </w:p>
    <w:bookmarkEnd w:id="266"/>
    <w:bookmarkStart w:id="268" w:name="ref-lee2009"/>
    <w:p>
      <w:pPr>
        <w:pStyle w:val="Literaturverzeichnis"/>
      </w:pPr>
      <w:r>
        <w:t xml:space="preserve">Lee, Jong-Sen, Jen-Hung Wen, T. L. Ainsworth, Kun-Shan Chen, and A. J. Chen. 2009.</w:t>
      </w:r>
      <w:r>
        <w:t xml:space="preserve"> </w:t>
      </w:r>
      <w:r>
        <w:t xml:space="preserve">“Improved Sigma Filter for Speckle Filtering of SAR Imagery.”</w:t>
      </w:r>
      <w:r>
        <w:t xml:space="preserve"> </w:t>
      </w:r>
      <w:r>
        <w:rPr>
          <w:i/>
          <w:iCs/>
        </w:rPr>
        <w:t xml:space="preserve">IEEE Transactions on Geoscience and Remote Sensing</w:t>
      </w:r>
      <w:r>
        <w:t xml:space="preserve"> </w:t>
      </w:r>
      <w:r>
        <w:t xml:space="preserve">47 (1): 202–13.</w:t>
      </w:r>
      <w:r>
        <w:t xml:space="preserve"> </w:t>
      </w:r>
      <w:hyperlink r:id="rId267">
        <w:r>
          <w:rPr>
            <w:rStyle w:val="Hyperlink"/>
          </w:rPr>
          <w:t xml:space="preserve">https://doi.org/10.1109/TGRS.2008.2002881</w:t>
        </w:r>
      </w:hyperlink>
      <w:r>
        <w:t xml:space="preserve">.</w:t>
      </w:r>
    </w:p>
    <w:bookmarkEnd w:id="268"/>
    <w:bookmarkStart w:id="270" w:name="ref-raney2012"/>
    <w:p>
      <w:pPr>
        <w:pStyle w:val="Literaturverzeichnis"/>
      </w:pPr>
      <w:r>
        <w:t xml:space="preserve">Raney, Russell, Joshua Cahill, G. Patterson, and D. Bussey. 2012.</w:t>
      </w:r>
      <w:r>
        <w:t xml:space="preserve"> </w:t>
      </w:r>
      <w:r>
        <w:t xml:space="preserve">“The m-Chi Decomposition of Hybrid Dual-Polarimetric Radar Data with Application to Lunar Craters.”</w:t>
      </w:r>
      <w:r>
        <w:t xml:space="preserve"> </w:t>
      </w:r>
      <w:r>
        <w:rPr>
          <w:i/>
          <w:iCs/>
        </w:rPr>
        <w:t xml:space="preserve">Journal of Geophysical Research (Planets)</w:t>
      </w:r>
      <w:r>
        <w:t xml:space="preserve"> </w:t>
      </w:r>
      <w:r>
        <w:t xml:space="preserve">117 (May).</w:t>
      </w:r>
      <w:r>
        <w:t xml:space="preserve"> </w:t>
      </w:r>
      <w:hyperlink r:id="rId269">
        <w:r>
          <w:rPr>
            <w:rStyle w:val="Hyperlink"/>
          </w:rPr>
          <w:t xml:space="preserve">https://doi.org/10.1029/2011JE003986</w:t>
        </w:r>
      </w:hyperlink>
      <w:r>
        <w:t xml:space="preserve">.</w:t>
      </w:r>
    </w:p>
    <w:bookmarkEnd w:id="270"/>
    <w:bookmarkStart w:id="272" w:name="ref-shiroma2022"/>
    <w:p>
      <w:pPr>
        <w:pStyle w:val="Literaturverzeichnis"/>
      </w:pPr>
      <w:r>
        <w:t xml:space="preserve">Shiroma, Gustavo H. X., Marco Lavalle, and Sean M. Buckley. 2022.</w:t>
      </w:r>
      <w:r>
        <w:t xml:space="preserve"> </w:t>
      </w:r>
      <w:r>
        <w:t xml:space="preserve">“An Area-Based Projection Algorithm for SAR Radiometric Terrain Correction and Geocoding.”</w:t>
      </w:r>
      <w:r>
        <w:t xml:space="preserve"> </w:t>
      </w:r>
      <w:r>
        <w:rPr>
          <w:i/>
          <w:iCs/>
        </w:rPr>
        <w:t xml:space="preserve">IEEE Transactions on Geoscience and Remote Sensing</w:t>
      </w:r>
      <w:r>
        <w:t xml:space="preserve"> </w:t>
      </w:r>
      <w:r>
        <w:t xml:space="preserve">60: 1–23.</w:t>
      </w:r>
      <w:r>
        <w:t xml:space="preserve"> </w:t>
      </w:r>
      <w:hyperlink r:id="rId271">
        <w:r>
          <w:rPr>
            <w:rStyle w:val="Hyperlink"/>
          </w:rPr>
          <w:t xml:space="preserve">https://doi.org/10.1109/TGRS.2022.3147472</w:t>
        </w:r>
      </w:hyperlink>
      <w:r>
        <w:t xml:space="preserve">.</w:t>
      </w:r>
    </w:p>
    <w:bookmarkEnd w:id="272"/>
    <w:bookmarkStart w:id="274" w:name="ref-small2011"/>
    <w:p>
      <w:pPr>
        <w:pStyle w:val="Literaturverzeichnis"/>
      </w:pPr>
      <w:r>
        <w:t xml:space="preserve">Small, David. 2011.</w:t>
      </w:r>
      <w:r>
        <w:t xml:space="preserve"> </w:t>
      </w:r>
      <w:r>
        <w:t xml:space="preserve">“Flattening Gamma: Radiometric Terrain Correction for SAR Imagery.”</w:t>
      </w:r>
      <w:r>
        <w:t xml:space="preserve"> </w:t>
      </w:r>
      <w:r>
        <w:rPr>
          <w:i/>
          <w:iCs/>
        </w:rPr>
        <w:t xml:space="preserve">IEEE Transactions on Geoscience and Remote Sensing</w:t>
      </w:r>
      <w:r>
        <w:t xml:space="preserve"> </w:t>
      </w:r>
      <w:r>
        <w:t xml:space="preserve">49 (8): 3081–93.</w:t>
      </w:r>
      <w:r>
        <w:t xml:space="preserve"> </w:t>
      </w:r>
      <w:hyperlink r:id="rId273">
        <w:r>
          <w:rPr>
            <w:rStyle w:val="Hyperlink"/>
          </w:rPr>
          <w:t xml:space="preserve">https://doi.org/10.1109/TGRS.2011.2120616</w:t>
        </w:r>
      </w:hyperlink>
      <w:r>
        <w:t xml:space="preserve">.</w:t>
      </w:r>
    </w:p>
    <w:bookmarkEnd w:id="274"/>
    <w:bookmarkStart w:id="276" w:name="ref-yamaguchi2011"/>
    <w:p>
      <w:pPr>
        <w:pStyle w:val="Literaturverzeichnis"/>
      </w:pPr>
      <w:r>
        <w:t xml:space="preserve">Yamaguchi, Yoshio, Akinobu Sato, Wolfgang-Martin Boerner, Ryoichi Sato, and Hiroyoshi Yamada. 2011.</w:t>
      </w:r>
      <w:r>
        <w:t xml:space="preserve"> </w:t>
      </w:r>
      <w:r>
        <w:t xml:space="preserve">“Four-Component Scattering Power Decomposition with Rotation of Coherency Matrix.”</w:t>
      </w:r>
      <w:r>
        <w:t xml:space="preserve"> </w:t>
      </w:r>
      <w:r>
        <w:rPr>
          <w:i/>
          <w:iCs/>
        </w:rPr>
        <w:t xml:space="preserve">Geoscience and Remote Sensing, IEEE Transactions on</w:t>
      </w:r>
      <w:r>
        <w:t xml:space="preserve"> </w:t>
      </w:r>
      <w:r>
        <w:t xml:space="preserve">49 (July): 2251–58.</w:t>
      </w:r>
      <w:r>
        <w:t xml:space="preserve"> </w:t>
      </w:r>
      <w:hyperlink r:id="rId275">
        <w:r>
          <w:rPr>
            <w:rStyle w:val="Hyperlink"/>
          </w:rPr>
          <w:t xml:space="preserve">https://doi.org/10.1109/TGRS.2010.2099124</w:t>
        </w:r>
      </w:hyperlink>
      <w:r>
        <w:t xml:space="preserve">.</w:t>
      </w:r>
    </w:p>
    <w:bookmarkEnd w:id="276"/>
    <w:bookmarkStart w:id="278" w:name="ref-zebker2017"/>
    <w:p>
      <w:pPr>
        <w:pStyle w:val="Literaturverzeichnis"/>
      </w:pPr>
      <w:r>
        <w:t xml:space="preserve">Zebker, Howard. 2017.</w:t>
      </w:r>
      <w:r>
        <w:t xml:space="preserve"> </w:t>
      </w:r>
      <w:r>
        <w:t xml:space="preserve">“User-Friendly InSAR Data Products: Fast and Simple Timeseries Processing.”</w:t>
      </w:r>
      <w:r>
        <w:t xml:space="preserve"> </w:t>
      </w:r>
      <w:r>
        <w:rPr>
          <w:i/>
          <w:iCs/>
        </w:rPr>
        <w:t xml:space="preserve">IEEE Geoscience and Remote Sensing Letters</w:t>
      </w:r>
      <w:r>
        <w:t xml:space="preserve"> </w:t>
      </w:r>
      <w:r>
        <w:t xml:space="preserve">14 (October): 1–5.</w:t>
      </w:r>
      <w:r>
        <w:t xml:space="preserve"> </w:t>
      </w:r>
      <w:hyperlink r:id="rId277">
        <w:r>
          <w:rPr>
            <w:rStyle w:val="Hyperlink"/>
          </w:rPr>
          <w:t xml:space="preserve">https://doi.org/10.1109/LGRS.2017.2753580</w:t>
        </w:r>
      </w:hyperlink>
      <w:r>
        <w:t xml:space="preserve">.</w:t>
      </w:r>
    </w:p>
    <w:bookmarkEnd w:id="278"/>
    <w:bookmarkStart w:id="280" w:name="ref-zebker2010"/>
    <w:p>
      <w:pPr>
        <w:pStyle w:val="Literaturverzeichnis"/>
      </w:pPr>
      <w:r>
        <w:t xml:space="preserve">Zebker, Howard A., Scott Hensley, Piyush Shanker, and Cody Wortham. 2010.</w:t>
      </w:r>
      <w:r>
        <w:t xml:space="preserve"> </w:t>
      </w:r>
      <w:r>
        <w:t xml:space="preserve">“Geodetically Accurate InSAR Data Processor.”</w:t>
      </w:r>
      <w:r>
        <w:t xml:space="preserve"> </w:t>
      </w:r>
      <w:r>
        <w:rPr>
          <w:i/>
          <w:iCs/>
        </w:rPr>
        <w:t xml:space="preserve">IEEE Transactions on Geoscience and Remote Sensing</w:t>
      </w:r>
      <w:r>
        <w:t xml:space="preserve"> </w:t>
      </w:r>
      <w:r>
        <w:t xml:space="preserve">48 (12): 4309–21.</w:t>
      </w:r>
      <w:r>
        <w:t xml:space="preserve"> </w:t>
      </w:r>
      <w:hyperlink r:id="rId279">
        <w:r>
          <w:rPr>
            <w:rStyle w:val="Hyperlink"/>
          </w:rPr>
          <w:t xml:space="preserve">https://doi.org/10.1109/TGRS.2010.2051333</w:t>
        </w:r>
      </w:hyperlink>
      <w:r>
        <w:t xml:space="preserve">.</w:t>
      </w:r>
    </w:p>
    <w:bookmarkEnd w:id="280"/>
    <w:bookmarkEnd w:id="281"/>
    <w:p>
      <w:r>
        <w:br w:type="page"/>
      </w:r>
    </w:p>
    <w:bookmarkEnd w:id="282"/>
    <w:bookmarkStart w:id="304" w:name="annexes"/>
    <w:p>
      <w:pPr>
        <w:pStyle w:val="berschrift2"/>
      </w:pPr>
      <w:r>
        <w:t xml:space="preserve">Annexes</w:t>
      </w:r>
    </w:p>
    <w:bookmarkStart w:id="284" w:name="sec:annex-sar-general-processing-roadmap"/>
    <w:p>
      <w:pPr>
        <w:pStyle w:val="berschrift3"/>
      </w:pPr>
      <w:r>
        <w:t xml:space="preserve">General Processing Map</w:t>
      </w:r>
    </w:p>
    <w:p>
      <w:pPr>
        <w:pStyle w:val="FirstParagraph"/>
      </w:pPr>
      <w:r>
        <w:t xml:space="preserve">The radiometric interoperability of CEOS-ARD SAR products is ensured by a common processing chain during production. The recommended processing roadmap involves the following steps:</w:t>
      </w:r>
    </w:p>
    <w:p>
      <w:pPr>
        <w:pStyle w:val="Compact"/>
        <w:numPr>
          <w:ilvl w:val="0"/>
          <w:numId w:val="1095"/>
        </w:numPr>
      </w:pPr>
      <w:r>
        <w:t xml:space="preserve">Apply the best possible orbit parameters to give the most accurate product possible. These will have been projected to an ellipsoidal model such as WGS84. To achieve the level of geometric accuracy required for the DEM-based correction, precise orbit determination will be required.</w:t>
      </w:r>
    </w:p>
    <w:p>
      <w:pPr>
        <w:pStyle w:val="Compact"/>
        <w:numPr>
          <w:ilvl w:val="0"/>
          <w:numId w:val="1095"/>
        </w:numPr>
      </w:pPr>
      <w:r>
        <w:t xml:space="preserve">Apply instrument calibration to produce Beta-Nought values with high fidelity.</w:t>
      </w:r>
    </w:p>
    <w:p>
      <w:pPr>
        <w:pStyle w:val="Compact"/>
        <w:numPr>
          <w:ilvl w:val="0"/>
          <w:numId w:val="1095"/>
        </w:numPr>
      </w:pPr>
      <w:r>
        <w:t xml:space="preserve">Convert Single-Look-Complex (SLC) radiometric channel(s) to intensity NRB, ORB and POL and in addition for POL, the cross-product element(s) of the covariance as shown in Section </w:t>
      </w:r>
      <w:r>
        <w:t xml:space="preserve">“</w:t>
      </w:r>
      <w:hyperlink w:anchor="sec:annex-sar-pol-covmat">
        <w:r>
          <w:rPr>
            <w:rStyle w:val="Hyperlink"/>
          </w:rPr>
          <w:t xml:space="preserve">Normalised Covariance Matrices (CovMat)</w:t>
        </w:r>
      </w:hyperlink>
      <w:r>
        <w:t xml:space="preserve">”</w:t>
      </w:r>
      <w:r>
        <w:t xml:space="preserve">.</w:t>
      </w:r>
    </w:p>
    <w:p>
      <w:pPr>
        <w:pStyle w:val="Compact"/>
        <w:numPr>
          <w:ilvl w:val="0"/>
          <w:numId w:val="1095"/>
        </w:numPr>
      </w:pPr>
      <w:r>
        <w:t xml:space="preserve">Perform radiometric terrain correction (gamma backscatter convention terrain-flattening) on the covariance matrix by applying the local surface normalisation factor to each backscatter measurement element</w:t>
      </w:r>
      <w:r>
        <w:t xml:space="preserve"> </w:t>
      </w:r>
      <w:r>
        <w:t xml:space="preserve">(</w:t>
      </w:r>
      <w:hyperlink w:anchor="ref-small2011">
        <w:r>
          <w:rPr>
            <w:rStyle w:val="Hyperlink"/>
          </w:rPr>
          <w:t xml:space="preserve">Small 2011</w:t>
        </w:r>
      </w:hyperlink>
      <w:r>
        <w:t xml:space="preserve">;</w:t>
      </w:r>
      <w:r>
        <w:t xml:space="preserve"> </w:t>
      </w:r>
      <w:hyperlink w:anchor="ref-shiroma2022">
        <w:r>
          <w:rPr>
            <w:rStyle w:val="Hyperlink"/>
          </w:rPr>
          <w:t xml:space="preserve">Shiroma et al. 2022</w:t>
        </w:r>
      </w:hyperlink>
      <w:r>
        <w:t xml:space="preserve">)</w:t>
      </w:r>
      <w:r>
        <w:t xml:space="preserve">.</w:t>
      </w:r>
    </w:p>
    <w:p>
      <w:pPr>
        <w:pStyle w:val="Compact"/>
        <w:numPr>
          <w:ilvl w:val="0"/>
          <w:numId w:val="1095"/>
        </w:numPr>
      </w:pPr>
      <w:r>
        <w:t xml:space="preserve">Perform polarimetric speckle filtering (optional for NRB and ORB), before geocoding, to optimally preserve the polarimetric information. Most popular polarimetric decomposition methodologies are incoherent in nature, which requires averaging the covariance matrix for stationarity. Depending on the application, a polarimetric filter that preserves local point targets and locally average extended targets may be used, e.g., Sigma Lee filter with 7x7 window and 3-point target</w:t>
      </w:r>
      <w:r>
        <w:t xml:space="preserve"> </w:t>
      </w:r>
      <w:r>
        <w:t xml:space="preserve">(</w:t>
      </w:r>
      <w:hyperlink w:anchor="ref-lee2009">
        <w:r>
          <w:rPr>
            <w:rStyle w:val="Hyperlink"/>
          </w:rPr>
          <w:t xml:space="preserve">Lee et al. 2009</w:t>
        </w:r>
      </w:hyperlink>
      <w:r>
        <w:t xml:space="preserve">)</w:t>
      </w:r>
      <w:r>
        <w:t xml:space="preserve">. Multi-looking could be performed to meet optimal output sample spacing before the geometric correction step. No speckle filtering or multi-looking is performed for GSLC products.</w:t>
      </w:r>
    </w:p>
    <w:p>
      <w:pPr>
        <w:pStyle w:val="Compact"/>
        <w:numPr>
          <w:ilvl w:val="0"/>
          <w:numId w:val="1095"/>
        </w:numPr>
      </w:pPr>
      <w:r>
        <w:t xml:space="preserve">For GSLC products, the topographic phase is estimated relative to a reference orbit and removed from the SLC data</w:t>
      </w:r>
      <w:r>
        <w:t xml:space="preserve"> </w:t>
      </w:r>
      <w:r>
        <w:t xml:space="preserve">(</w:t>
      </w:r>
      <w:hyperlink w:anchor="ref-zebker2010">
        <w:r>
          <w:rPr>
            <w:rStyle w:val="Hyperlink"/>
          </w:rPr>
          <w:t xml:space="preserve">Zebker et al. 2010</w:t>
        </w:r>
      </w:hyperlink>
      <w:r>
        <w:t xml:space="preserve">;</w:t>
      </w:r>
      <w:r>
        <w:t xml:space="preserve"> </w:t>
      </w:r>
      <w:hyperlink w:anchor="ref-zebker2017">
        <w:r>
          <w:rPr>
            <w:rStyle w:val="Hyperlink"/>
          </w:rPr>
          <w:t xml:space="preserve">Zebker 2017</w:t>
        </w:r>
      </w:hyperlink>
      <w:r>
        <w:t xml:space="preserve">)</w:t>
      </w:r>
      <w:r>
        <w:t xml:space="preserve"> </w:t>
      </w:r>
      <w:r>
        <w:t xml:space="preserve">(see Section </w:t>
      </w:r>
      <w:r>
        <w:t xml:space="preserve">“</w:t>
      </w:r>
      <w:hyperlink w:anchor="sec:annex-sar-topographic-phase-removal">
        <w:r>
          <w:rPr>
            <w:rStyle w:val="Hyperlink"/>
          </w:rPr>
          <w:t xml:space="preserve">Topographic phase removal</w:t>
        </w:r>
      </w:hyperlink>
      <w:r>
        <w:t xml:space="preserve">”</w:t>
      </w:r>
      <w:r>
        <w:t xml:space="preserve">)</w:t>
      </w:r>
    </w:p>
    <w:p>
      <w:pPr>
        <w:pStyle w:val="Compact"/>
        <w:numPr>
          <w:ilvl w:val="0"/>
          <w:numId w:val="1095"/>
        </w:numPr>
      </w:pPr>
      <w:r>
        <w:t xml:space="preserve">Geometric terrain correction (relative to geoid for ORB) is applied to the normalized backscatter measurement data. For POL, the resampling methodology should be nearest-neighbour, bilinear or average in order to preserve integrity of the covariance matrix as other resampling functions can introduce artefacts due to the mix of intensity and complex number elements in the matrix. Geocoding to a common grid structure with specified pixel spacings for true data cube format.</w:t>
      </w:r>
    </w:p>
    <w:p>
      <w:pPr>
        <w:pStyle w:val="Compact"/>
        <w:numPr>
          <w:ilvl w:val="0"/>
          <w:numId w:val="1095"/>
        </w:numPr>
      </w:pPr>
      <w:r>
        <w:t xml:space="preserve">Generate CEOS format metadata to accompany product layers.</w:t>
      </w:r>
    </w:p>
    <w:p>
      <w:pPr>
        <w:pStyle w:val="Compact"/>
        <w:numPr>
          <w:ilvl w:val="0"/>
          <w:numId w:val="1095"/>
        </w:numPr>
      </w:pPr>
      <w:r>
        <w:t xml:space="preserve">Optionally, a SpatioTemporal Asset Catalog (STAC) file is added to the product.</w:t>
      </w:r>
    </w:p>
    <w:p>
      <w:pPr>
        <w:pStyle w:val="FirstParagraph"/>
      </w:pPr>
      <w:r>
        <w:t xml:space="preserve">Table </w:t>
      </w:r>
      <w:hyperlink w:anchor="tbl:sar-general-processing-roadmap-tbl1">
        <w:r>
          <w:rPr>
            <w:rStyle w:val="Hyperlink"/>
          </w:rPr>
          <w:t xml:space="preserve">1</w:t>
        </w:r>
      </w:hyperlink>
      <w:r>
        <w:t xml:space="preserve"> </w:t>
      </w:r>
      <w:r>
        <w:t xml:space="preserve">lists possible sequential steps and existing software tools (e.g., Gamma software (GAMMA, 2018)) and scripting tasks that can be used to form the CEOS-ARD SAR processing roadmap.</w:t>
      </w:r>
    </w:p>
    <w:bookmarkStart w:id="283" w:name="tbl:sar-general-processing-roadmap-tbl1"/>
    <w:p>
      <w:pPr>
        <w:pStyle w:val="TableCaption"/>
      </w:pPr>
      <w:r>
        <w:t xml:space="preserve">Table 1: SAR ARD processing roadmap and software options. RADARSAT-2 Example</w:t>
      </w:r>
    </w:p>
    <w:tbl>
      <w:tblPr>
        <w:tblStyle w:val="Table"/>
        <w:tblW w:type="pct" w:w="5000"/>
        <w:tblLayout w:type="fixed"/>
        <w:tblLook w:firstRow="1" w:lastRow="0" w:firstColumn="0" w:lastColumn="0" w:noHBand="0" w:noVBand="0" w:val="0020"/>
        <w:tblCaption w:val="Table 1: SAR ARD processing roadmap and software options. RADARSAT-2 Example"/>
      </w:tblPr>
      <w:tblGrid>
        <w:gridCol w:w="3960"/>
        <w:gridCol w:w="3960"/>
      </w:tblGrid>
      <w:tr>
        <w:trPr>
          <w:tblHeader w:val="on"/>
        </w:trPr>
        <w:tc>
          <w:tcPr/>
          <w:p>
            <w:pPr>
              <w:pStyle w:val="Compact"/>
              <w:jc w:val="left"/>
            </w:pPr>
            <w:r>
              <w:t xml:space="preserve">Step</w:t>
            </w:r>
          </w:p>
        </w:tc>
        <w:tc>
          <w:tcPr/>
          <w:p>
            <w:pPr>
              <w:pStyle w:val="Compact"/>
              <w:jc w:val="left"/>
            </w:pPr>
            <w:r>
              <w:t xml:space="preserve">Implementation option</w:t>
            </w:r>
          </w:p>
        </w:tc>
      </w:tr>
      <w:tr>
        <w:tc>
          <w:tcPr/>
          <w:p>
            <w:pPr>
              <w:pStyle w:val="Compact"/>
              <w:jc w:val="left"/>
            </w:pPr>
            <w:r>
              <w:t xml:space="preserve">1. Orbital data refinement</w:t>
            </w:r>
          </w:p>
        </w:tc>
        <w:tc>
          <w:tcPr/>
          <w:p>
            <w:pPr>
              <w:pStyle w:val="Compact"/>
              <w:jc w:val="left"/>
            </w:pPr>
            <w:r>
              <w:t xml:space="preserve">Check xml date and delivered format. RADARSAT-2, pre EDOT (July 2015) replace. Post July 2015, check if ‘DEF’, otherwise replace. (Gamma - RSAT2_vec)</w:t>
            </w:r>
          </w:p>
        </w:tc>
      </w:tr>
      <w:tr>
        <w:tc>
          <w:tcPr/>
          <w:p>
            <w:pPr>
              <w:pStyle w:val="Compact"/>
              <w:jc w:val="left"/>
            </w:pPr>
            <w:r>
              <w:t xml:space="preserve">2. Apply radiometric scaling Look-Up Table (LUT) to Beta-Nought</w:t>
            </w:r>
          </w:p>
        </w:tc>
        <w:tc>
          <w:tcPr/>
          <w:p>
            <w:pPr>
              <w:pStyle w:val="Compact"/>
              <w:jc w:val="left"/>
            </w:pPr>
            <w:r>
              <w:t xml:space="preserve">Specification of LUT on ingest.
    (Gamma - par_RSAT2_SLC/SG)</w:t>
            </w:r>
          </w:p>
        </w:tc>
      </w:tr>
      <w:tr>
        <w:tc>
          <w:tcPr/>
          <w:p>
            <w:pPr>
              <w:pStyle w:val="Compact"/>
              <w:jc w:val="left"/>
            </w:pPr>
            <w:r>
              <w:t xml:space="preserve">3. Generate covariance matrix elements</w:t>
            </w:r>
          </w:p>
        </w:tc>
        <w:tc>
          <w:tcPr/>
          <w:p>
            <w:pPr>
              <w:pStyle w:val="Compact"/>
              <w:jc w:val="left"/>
            </w:pPr>
            <w:r>
              <w:t xml:space="preserve">Gamma – COV_MATRIX</w:t>
            </w:r>
          </w:p>
        </w:tc>
      </w:tr>
      <w:tr>
        <w:tc>
          <w:tcPr/>
          <w:p>
            <w:pPr>
              <w:pStyle w:val="Compact"/>
              <w:jc w:val="left"/>
            </w:pPr>
            <w:r>
              <w:t xml:space="preserve">4. Radiometric terrain normalisation</w:t>
            </w:r>
          </w:p>
        </w:tc>
        <w:tc>
          <w:tcPr/>
          <w:p>
            <w:pPr>
              <w:pStyle w:val="Compact"/>
              <w:jc w:val="left"/>
            </w:pPr>
            <w:r>
              <w:t xml:space="preserve">Gamma - geo_radcal2</w:t>
            </w:r>
          </w:p>
        </w:tc>
      </w:tr>
      <w:tr>
        <w:tc>
          <w:tcPr/>
          <w:p>
            <w:pPr>
              <w:pStyle w:val="Compact"/>
              <w:jc w:val="left"/>
            </w:pPr>
            <w:r>
              <w:t xml:space="preserve">5. Speckle filtering (Boxcar or Sigma Lee)</w:t>
            </w:r>
          </w:p>
        </w:tc>
        <w:tc>
          <w:tcPr/>
          <w:p>
            <w:pPr>
              <w:pStyle w:val="Compact"/>
              <w:jc w:val="left"/>
            </w:pPr>
            <w:r>
              <w:t xml:space="preserve">Custom scripting</w:t>
            </w:r>
          </w:p>
        </w:tc>
      </w:tr>
      <w:tr>
        <w:tc>
          <w:tcPr/>
          <w:p>
            <w:pPr>
              <w:pStyle w:val="Compact"/>
              <w:jc w:val="left"/>
            </w:pPr>
            <w:r>
              <w:t xml:space="preserve">6. Geometric terrain correction/Geocoding</w:t>
            </w:r>
          </w:p>
        </w:tc>
        <w:tc>
          <w:tcPr/>
          <w:p>
            <w:pPr>
              <w:pStyle w:val="Compact"/>
              <w:jc w:val="left"/>
            </w:pPr>
            <w:r>
              <w:t xml:space="preserve">Gamma – gc_map and geocode_back</w:t>
            </w:r>
          </w:p>
        </w:tc>
      </w:tr>
      <w:tr>
        <w:tc>
          <w:tcPr/>
          <w:p>
            <w:pPr>
              <w:pStyle w:val="Compact"/>
              <w:jc w:val="left"/>
            </w:pPr>
            <w:r>
              <w:t xml:space="preserve">7. Create metadata</w:t>
            </w:r>
          </w:p>
        </w:tc>
        <w:tc>
          <w:tcPr/>
          <w:p>
            <w:pPr>
              <w:pStyle w:val="Compact"/>
              <w:jc w:val="left"/>
            </w:pPr>
            <w:r>
              <w:t xml:space="preserve">Custom scripting</w:t>
            </w:r>
          </w:p>
        </w:tc>
      </w:tr>
    </w:tbl>
    <w:bookmarkEnd w:id="283"/>
    <w:bookmarkEnd w:id="284"/>
    <w:bookmarkStart w:id="296" w:name="sec:annex-sar-topographic-phase-removal"/>
    <w:p>
      <w:pPr>
        <w:pStyle w:val="berschrift3"/>
      </w:pPr>
      <w:r>
        <w:t xml:space="preserve">Topographic phase removal</w:t>
      </w:r>
    </w:p>
    <w:p>
      <w:pPr>
        <w:pStyle w:val="FirstParagraph"/>
      </w:pPr>
      <w:r>
        <w:t xml:space="preserve">InSAR analysis capabilities from CEOS-ARD SAR products are enabled with GSLC products, which is also the case when the Flattened Phase per-pixel data are included in the NRB or POL products. This is made possible since the simulated topographic phase relative to a given reference orbit has been subtracted.</w:t>
      </w:r>
    </w:p>
    <w:p>
      <w:pPr>
        <w:pStyle w:val="Textkrper"/>
      </w:pPr>
      <w:r>
        <w:t xml:space="preserve">From classical approach with SLC data, interferometric phase</w:t>
      </w:r>
      <w:r>
        <w:t xml:space="preserve"> </w:t>
      </w:r>
      <m:oMath>
        <m:r>
          <m:rPr>
            <m:sty m:val="p"/>
          </m:rPr>
          <m:t>Δ</m:t>
        </m:r>
        <m:sSub>
          <m:e>
            <m:r>
              <m:t>φ</m:t>
            </m:r>
          </m:e>
          <m:sub>
            <m:r>
              <m:t>1</m:t>
            </m:r>
            <m:r>
              <m:rPr>
                <m:sty m:val="p"/>
              </m:rPr>
              <m:t>−</m:t>
            </m:r>
            <m:r>
              <m:t>2</m:t>
            </m:r>
          </m:sub>
        </m:sSub>
      </m:oMath>
      <w:r>
        <w:t xml:space="preserve"> </w:t>
      </w:r>
      <w:r>
        <w:t xml:space="preserve">between two SAR acquisitions is composed of a topographic phase</w:t>
      </w:r>
      <w:r>
        <w:t xml:space="preserve"> </w:t>
      </w:r>
      <m:oMath>
        <m:r>
          <m:rPr>
            <m:sty m:val="p"/>
          </m:rPr>
          <m:t>Δ</m:t>
        </m:r>
        <m:sSub>
          <m:e>
            <m:r>
              <m:t>φ</m:t>
            </m:r>
          </m:e>
          <m:sub>
            <m:r>
              <m:rPr>
                <m:nor/>
                <m:sty m:val="p"/>
              </m:rPr>
              <m:t>Topo</m:t>
            </m:r>
            <m:r>
              <m:rPr>
                <m:sty m:val="p"/>
              </m:rPr>
              <m:t>_</m:t>
            </m:r>
            <m:r>
              <m:t>1</m:t>
            </m:r>
            <m:r>
              <m:rPr>
                <m:sty m:val="p"/>
              </m:rPr>
              <m:t>−</m:t>
            </m:r>
            <m:r>
              <m:t>2</m:t>
            </m:r>
          </m:sub>
        </m:sSub>
      </m:oMath>
      <w:r>
        <w:t xml:space="preserve">, a surface displacement phase</w:t>
      </w:r>
      <w:r>
        <w:t xml:space="preserve"> </w:t>
      </w:r>
      <m:oMath>
        <m:r>
          <m:rPr>
            <m:sty m:val="p"/>
          </m:rPr>
          <m:t>Δ</m:t>
        </m:r>
        <m:sSub>
          <m:e>
            <m:r>
              <m:t>φ</m:t>
            </m:r>
          </m:e>
          <m:sub>
            <m:r>
              <m:rPr>
                <m:nor/>
                <m:sty m:val="p"/>
              </m:rPr>
              <m:t>Disp</m:t>
            </m:r>
            <m:r>
              <m:rPr>
                <m:sty m:val="p"/>
              </m:rPr>
              <m:t>_</m:t>
            </m:r>
            <m:r>
              <m:t>1</m:t>
            </m:r>
            <m:r>
              <m:rPr>
                <m:sty m:val="p"/>
              </m:rPr>
              <m:t>−</m:t>
            </m:r>
            <m:r>
              <m:t>2</m:t>
            </m:r>
          </m:sub>
        </m:sSub>
      </m:oMath>
      <w:r>
        <w:t xml:space="preserve"> </w:t>
      </w:r>
      <w:r>
        <w:t xml:space="preserve">and other noise terms</w:t>
      </w:r>
      <w:r>
        <w:t xml:space="preserve"> </w:t>
      </w:r>
      <m:oMath>
        <m:r>
          <m:rPr>
            <m:sty m:val="p"/>
          </m:rPr>
          <m:t>Δ</m:t>
        </m:r>
        <m:sSub>
          <m:e>
            <m:r>
              <m:t>φ</m:t>
            </m:r>
          </m:e>
          <m:sub>
            <m:r>
              <m:rPr>
                <m:nor/>
                <m:sty m:val="p"/>
              </m:rPr>
              <m:t>Noise</m:t>
            </m:r>
            <m:r>
              <m:rPr>
                <m:sty m:val="p"/>
              </m:rPr>
              <m:t>_</m:t>
            </m:r>
            <m:r>
              <m:t>1</m:t>
            </m:r>
            <m:r>
              <m:rPr>
                <m:sty m:val="p"/>
              </m:rPr>
              <m:t>−</m:t>
            </m:r>
            <m:r>
              <m:t>2</m:t>
            </m:r>
          </m:sub>
        </m:sSub>
      </m:oMath>
      <w:r>
        <w:t xml:space="preserve"> </w:t>
      </w:r>
      <w:r>
        <w:t xml:space="preserve">(Eq. </w:t>
      </w:r>
      <w:hyperlink w:anchor="eq:sar-topographic-phase-removal-eq1">
        <w:r>
          <w:rPr>
            <w:rStyle w:val="Hyperlink"/>
          </w:rPr>
          <w:t xml:space="preserve">1</w:t>
        </w:r>
      </w:hyperlink>
      <w:r>
        <w:t xml:space="preserve">). The topographic phase consists to the difference in geometrical path length from each of the two antenna positions to the point on the SAR image (</w:t>
      </w:r>
      <m:oMath>
        <m:sSub>
          <m:e>
            <m:r>
              <m:t>φ</m:t>
            </m:r>
          </m:e>
          <m:sub>
            <m:r>
              <m:rPr>
                <m:nor/>
                <m:sty m:val="p"/>
              </m:rPr>
              <m:t>DEM</m:t>
            </m:r>
            <m:r>
              <m:rPr>
                <m:sty m:val="p"/>
              </m:rPr>
              <m:t>_</m:t>
            </m:r>
            <m:r>
              <m:rPr>
                <m:nor/>
                <m:sty m:val="p"/>
              </m:rPr>
              <m:t>SLC</m:t>
            </m:r>
          </m:sub>
        </m:sSub>
      </m:oMath>
      <w:r>
        <w:t xml:space="preserve">) and is a function of their orbital baseline distance (Eq. </w:t>
      </w:r>
      <w:hyperlink w:anchor="eq:sar-topographic-phase-removal-eq2">
        <w:r>
          <w:rPr>
            <w:rStyle w:val="Hyperlink"/>
          </w:rPr>
          <w:t xml:space="preserve">2</w:t>
        </w:r>
      </w:hyperlink>
      <w:r>
        <w:t xml:space="preserve">). The surface displacement phase is related to the displacement of the surface that occurred in between the two acquisitions. The noise term is the function of the radar signal interaction with the atmosphere and the ionosphere during each acquisition and function of the system noise.</w:t>
      </w:r>
    </w:p>
    <w:p>
      <w:pPr>
        <w:pStyle w:val="Textkrper"/>
      </w:pPr>
      <w:bookmarkStart w:id="285" w:name="eq:sar-topographic-phase-removal-eq1"/>
      <m:oMathPara>
        <m:oMathParaPr>
          <m:jc m:val="center"/>
        </m:oMathParaPr>
        <m:oMath>
          <m:r>
            <m:rPr>
              <m:sty m:val="p"/>
            </m:rPr>
            <m:t>Δ</m:t>
          </m:r>
          <m:sSub>
            <m:e>
              <m:r>
                <m:t>φ</m:t>
              </m:r>
            </m:e>
            <m:sub>
              <m:r>
                <m:t>1</m:t>
              </m:r>
              <m:r>
                <m:rPr>
                  <m:sty m:val="p"/>
                </m:rPr>
                <m:t>−</m:t>
              </m:r>
              <m:r>
                <m:t>2</m:t>
              </m:r>
            </m:sub>
          </m:sSub>
          <m:r>
            <m:rPr>
              <m:sty m:val="p"/>
            </m:rPr>
            <m:t>=</m:t>
          </m:r>
          <m:r>
            <m:rPr>
              <m:sty m:val="p"/>
            </m:rPr>
            <m:t>Δ</m:t>
          </m:r>
          <m:sSub>
            <m:e>
              <m:r>
                <m:t>φ</m:t>
              </m:r>
            </m:e>
            <m:sub>
              <m:r>
                <m:rPr>
                  <m:nor/>
                  <m:sty m:val="p"/>
                </m:rPr>
                <m:t>Topo</m:t>
              </m:r>
              <m:r>
                <m:rPr>
                  <m:sty m:val="p"/>
                </m:rPr>
                <m:t>_</m:t>
              </m:r>
              <m:r>
                <m:t>1</m:t>
              </m:r>
              <m:r>
                <m:rPr>
                  <m:sty m:val="p"/>
                </m:rPr>
                <m:t>−</m:t>
              </m:r>
              <m:r>
                <m:t>2</m:t>
              </m:r>
            </m:sub>
          </m:sSub>
          <m:r>
            <m:rPr>
              <m:sty m:val="p"/>
            </m:rPr>
            <m:t>+</m:t>
          </m:r>
          <m:r>
            <m:rPr>
              <m:sty m:val="p"/>
            </m:rPr>
            <m:t>Δ</m:t>
          </m:r>
          <m:sSub>
            <m:e>
              <m:r>
                <m:t>φ</m:t>
              </m:r>
            </m:e>
            <m:sub>
              <m:r>
                <m:rPr>
                  <m:nor/>
                  <m:sty m:val="p"/>
                </m:rPr>
                <m:t>Disp</m:t>
              </m:r>
              <m:r>
                <m:rPr>
                  <m:sty m:val="p"/>
                </m:rPr>
                <m:t>_</m:t>
              </m:r>
              <m:r>
                <m:t>1</m:t>
              </m:r>
              <m:r>
                <m:rPr>
                  <m:sty m:val="p"/>
                </m:rPr>
                <m:t>−</m:t>
              </m:r>
              <m:r>
                <m:t>2</m:t>
              </m:r>
            </m:sub>
          </m:sSub>
          <m:r>
            <m:rPr>
              <m:sty m:val="p"/>
            </m:rPr>
            <m:t>+</m:t>
          </m:r>
          <m:r>
            <m:rPr>
              <m:sty m:val="p"/>
            </m:rPr>
            <m:t>Δ</m:t>
          </m:r>
          <m:sSub>
            <m:e>
              <m:r>
                <m:t>φ</m:t>
              </m:r>
            </m:e>
            <m:sub>
              <m:r>
                <m:rPr>
                  <m:nor/>
                  <m:sty m:val="p"/>
                </m:rPr>
                <m:t>Noise</m:t>
              </m:r>
              <m:r>
                <m:rPr>
                  <m:sty m:val="p"/>
                </m:rPr>
                <m:t>_</m:t>
              </m:r>
              <m:r>
                <m:t>1</m:t>
              </m:r>
              <m:r>
                <m:rPr>
                  <m:sty m:val="p"/>
                </m:rPr>
                <m:t>−</m:t>
              </m:r>
              <m:r>
                <m:t>2</m:t>
              </m:r>
            </m:sub>
          </m:sSub>
          <m:r>
            <m:t>  </m:t>
          </m:r>
          <m:r>
            <m:rPr>
              <m:sty m:val="p"/>
            </m:rPr>
            <m:t>(</m:t>
          </m:r>
          <m:r>
            <m:t>1</m:t>
          </m:r>
          <m:r>
            <m:rPr>
              <m:sty m:val="p"/>
            </m:rPr>
            <m:t>)</m:t>
          </m:r>
        </m:oMath>
      </m:oMathPara>
      <w:bookmarkEnd w:id="285"/>
    </w:p>
    <w:p>
      <w:pPr>
        <w:pStyle w:val="FirstParagraph"/>
      </w:pPr>
      <w:r>
        <w:t xml:space="preserve">Where</w:t>
      </w:r>
    </w:p>
    <w:p>
      <w:pPr>
        <w:pStyle w:val="Textkrper"/>
      </w:pPr>
      <w:bookmarkStart w:id="286" w:name="eq:sar-topographic-phase-removal-eq2"/>
      <m:oMathPara>
        <m:oMathParaPr>
          <m:jc m:val="center"/>
        </m:oMathParaPr>
        <m:oMath>
          <m:r>
            <m:rPr>
              <m:sty m:val="p"/>
            </m:rPr>
            <m:t>Δ</m:t>
          </m:r>
          <m:sSub>
            <m:e>
              <m:r>
                <m:t>φ</m:t>
              </m:r>
            </m:e>
            <m:sub>
              <m:r>
                <m:rPr>
                  <m:nor/>
                  <m:sty m:val="p"/>
                </m:rPr>
                <m:t>Topo</m:t>
              </m:r>
              <m:r>
                <m:rPr>
                  <m:sty m:val="p"/>
                </m:rPr>
                <m:t>_</m:t>
              </m:r>
              <m:r>
                <m:t>1</m:t>
              </m:r>
              <m:r>
                <m:rPr>
                  <m:sty m:val="p"/>
                </m:rPr>
                <m:t>−</m:t>
              </m:r>
              <m:r>
                <m:t>2</m:t>
              </m:r>
            </m:sub>
          </m:sSub>
          <m:r>
            <m:rPr>
              <m:sty m:val="p"/>
            </m:rPr>
            <m:t>=</m:t>
          </m:r>
          <m:sSub>
            <m:e>
              <m:r>
                <m:t>φ</m:t>
              </m:r>
            </m:e>
            <m:sub>
              <m:r>
                <m:rPr>
                  <m:nor/>
                  <m:sty m:val="p"/>
                </m:rPr>
                <m:t>DEM</m:t>
              </m:r>
              <m:r>
                <m:rPr>
                  <m:sty m:val="p"/>
                </m:rPr>
                <m:t>_</m:t>
              </m:r>
              <m:r>
                <m:rPr>
                  <m:nor/>
                  <m:sty m:val="p"/>
                </m:rPr>
                <m:t>SLC</m:t>
              </m:r>
              <m:r>
                <m:rPr>
                  <m:sty m:val="p"/>
                </m:rPr>
                <m:t>_</m:t>
              </m:r>
              <m:r>
                <m:t>1</m:t>
              </m:r>
            </m:sub>
          </m:sSub>
          <m:r>
            <m:rPr>
              <m:sty m:val="p"/>
            </m:rPr>
            <m:t>=</m:t>
          </m:r>
          <m:sSub>
            <m:e>
              <m:r>
                <m:t>φ</m:t>
              </m:r>
            </m:e>
            <m:sub>
              <m:r>
                <m:rPr>
                  <m:nor/>
                  <m:sty m:val="p"/>
                </m:rPr>
                <m:t>DEM</m:t>
              </m:r>
              <m:r>
                <m:rPr>
                  <m:sty m:val="p"/>
                </m:rPr>
                <m:t>_</m:t>
              </m:r>
              <m:r>
                <m:rPr>
                  <m:nor/>
                  <m:sty m:val="p"/>
                </m:rPr>
                <m:t>SLC</m:t>
              </m:r>
              <m:r>
                <m:rPr>
                  <m:sty m:val="p"/>
                </m:rPr>
                <m:t>_</m:t>
              </m:r>
              <m:r>
                <m:t>2</m:t>
              </m:r>
            </m:sub>
          </m:sSub>
          <m:r>
            <m:t>  </m:t>
          </m:r>
          <m:r>
            <m:rPr>
              <m:sty m:val="p"/>
            </m:rPr>
            <m:t>(</m:t>
          </m:r>
          <m:r>
            <m:t>2</m:t>
          </m:r>
          <m:r>
            <m:rPr>
              <m:sty m:val="p"/>
            </m:rPr>
            <m:t>)</m:t>
          </m:r>
        </m:oMath>
      </m:oMathPara>
      <w:bookmarkEnd w:id="286"/>
    </w:p>
    <w:p>
      <w:pPr>
        <w:pStyle w:val="FirstParagraph"/>
      </w:pPr>
      <w:r>
        <w:t xml:space="preserve">Since CEOS-ARD products are already geocoded, it is important to remove the wrapped simulated topographic phase</w:t>
      </w:r>
      <w:r>
        <w:t xml:space="preserve"> </w:t>
      </w:r>
      <m:oMath>
        <m:sSub>
          <m:e>
            <m:r>
              <m:t>φ</m:t>
            </m:r>
          </m:e>
          <m:sub>
            <m:r>
              <m:rPr>
                <m:nor/>
                <m:sty m:val="p"/>
              </m:rPr>
              <m:t>SimDEM</m:t>
            </m:r>
            <m:r>
              <m:rPr>
                <m:sty m:val="p"/>
              </m:rPr>
              <m:t>_</m:t>
            </m:r>
            <m:r>
              <m:rPr>
                <m:nor/>
                <m:sty m:val="p"/>
              </m:rPr>
              <m:t>SLC</m:t>
            </m:r>
          </m:sub>
        </m:sSub>
      </m:oMath>
      <w:r>
        <w:t xml:space="preserve"> </w:t>
      </w:r>
      <w:r>
        <w:t xml:space="preserve">from the data in slant range (Eq. </w:t>
      </w:r>
      <w:hyperlink w:anchor="eq:sar-topographic-phase-removal-eq3">
        <w:r>
          <w:rPr>
            <w:rStyle w:val="Hyperlink"/>
          </w:rPr>
          <w:t xml:space="preserve">3</w:t>
        </w:r>
      </w:hyperlink>
      <w:r>
        <w:t xml:space="preserve">) during their production, before the geocoding step. The key here is to simulate the topographic phase relatively to a constant reference orbit, as done in a regular InSAR processing. There are two different ways to simulate the topographic phase:</w:t>
      </w:r>
    </w:p>
    <w:p>
      <w:pPr>
        <w:pStyle w:val="Compact"/>
        <w:numPr>
          <w:ilvl w:val="0"/>
          <w:numId w:val="1096"/>
        </w:numPr>
      </w:pPr>
      <w:r>
        <w:t xml:space="preserve">The use of a virtual circular orbit above a nonrotating planet</w:t>
      </w:r>
      <w:r>
        <w:t xml:space="preserve"> </w:t>
      </w:r>
      <w:r>
        <w:t xml:space="preserve">(</w:t>
      </w:r>
      <w:hyperlink w:anchor="ref-zebker2010">
        <w:r>
          <w:rPr>
            <w:rStyle w:val="Hyperlink"/>
          </w:rPr>
          <w:t xml:space="preserve">Zebker et al. 2010</w:t>
        </w:r>
      </w:hyperlink>
      <w:r>
        <w:t xml:space="preserve">)</w:t>
      </w:r>
    </w:p>
    <w:p>
      <w:pPr>
        <w:pStyle w:val="Compact"/>
        <w:numPr>
          <w:ilvl w:val="0"/>
          <w:numId w:val="1096"/>
        </w:numPr>
      </w:pPr>
      <w:r>
        <w:t xml:space="preserve">The use of a specific orbit cycle or a simulated orbit of the SAR mission</w:t>
      </w:r>
    </w:p>
    <w:p>
      <w:pPr>
        <w:pStyle w:val="FirstParagraph"/>
      </w:pPr>
      <w:r>
        <w:t xml:space="preserve">In both cases, the InSAR topographic phase</w:t>
      </w:r>
      <w:r>
        <w:t xml:space="preserve"> </w:t>
      </w:r>
      <m:oMath>
        <m:r>
          <m:rPr>
            <m:sty m:val="p"/>
          </m:rPr>
          <m:t>Δ</m:t>
        </m:r>
        <m:sSub>
          <m:e>
            <m:r>
              <m:t>φ</m:t>
            </m:r>
          </m:e>
          <m:sub>
            <m:r>
              <m:rPr>
                <m:nor/>
                <m:sty m:val="p"/>
              </m:rPr>
              <m:t>Topo</m:t>
            </m:r>
            <m:r>
              <m:rPr>
                <m:sty m:val="p"/>
              </m:rPr>
              <m:t>_</m:t>
            </m:r>
            <m:r>
              <m:rPr>
                <m:nor/>
                <m:sty m:val="p"/>
              </m:rPr>
              <m:t>OrbRef</m:t>
            </m:r>
            <m:r>
              <m:rPr>
                <m:sty m:val="p"/>
              </m:rPr>
              <m:t>−</m:t>
            </m:r>
            <m:r>
              <m:t>2</m:t>
            </m:r>
          </m:sub>
        </m:sSub>
      </m:oMath>
      <w:r>
        <w:t xml:space="preserve"> </w:t>
      </w:r>
      <w:r>
        <w:t xml:space="preserve">is simulated against the position of a virtual sensor</w:t>
      </w:r>
      <w:r>
        <w:t xml:space="preserve"> </w:t>
      </w:r>
      <m:oMath>
        <m:r>
          <m:rPr>
            <m:sty m:val="p"/>
          </m:rPr>
          <m:t>Δ</m:t>
        </m:r>
        <m:sSub>
          <m:e>
            <m:r>
              <m:t>φ</m:t>
            </m:r>
          </m:e>
          <m:sub>
            <m:r>
              <m:rPr>
                <m:nor/>
                <m:sty m:val="p"/>
              </m:rPr>
              <m:t>Topo</m:t>
            </m:r>
            <m:r>
              <m:rPr>
                <m:sty m:val="p"/>
              </m:rPr>
              <m:t>_</m:t>
            </m:r>
            <m:r>
              <m:rPr>
                <m:nor/>
                <m:sty m:val="p"/>
              </m:rPr>
              <m:t>OrbRef</m:t>
            </m:r>
          </m:sub>
        </m:sSub>
      </m:oMath>
      <w:r>
        <w:t xml:space="preserve"> </w:t>
      </w:r>
      <w:r>
        <w:t xml:space="preserve">lying on a reference orbit, instead of being simulated relatively to an existing reference SAR acquisition (</w:t>
      </w:r>
      <m:oMath>
        <m:sSub>
          <m:e>
            <m:r>
              <m:t>φ</m:t>
            </m:r>
          </m:e>
          <m:sub>
            <m:r>
              <m:rPr>
                <m:nor/>
                <m:sty m:val="p"/>
              </m:rPr>
              <m:t>DEM</m:t>
            </m:r>
            <m:r>
              <m:rPr>
                <m:sty m:val="p"/>
              </m:rPr>
              <m:t>_</m:t>
            </m:r>
            <m:r>
              <m:rPr>
                <m:nor/>
                <m:sty m:val="p"/>
              </m:rPr>
              <m:t>SLC</m:t>
            </m:r>
            <m:r>
              <m:rPr>
                <m:sty m:val="p"/>
              </m:rPr>
              <m:t>_</m:t>
            </m:r>
            <m:r>
              <m:t>1</m:t>
            </m:r>
          </m:sub>
        </m:sSub>
      </m:oMath>
      <w:r>
        <w:t xml:space="preserve">). The use of a virtual circular orbit is a more robust approach since the reference orbit is defined at a fixed height above scene nadir and assuming the reference orbital height constant for all CEOS-ARD products. While with the second approach, the CEOS-ARD data producer must select a specific archived orbit cycle of the SAR mission or define a simulated one, from which the relative orbit, matching the one of the SAR acquisitions to be processed (to be converted to CEOS-ARD), is defined as the reference orbit. With this second approach, it is important to always use the same orbit cycle (or simulated orbit) for all the CEOS-ARD produced for a mission, in order to preserve the relevant compensated phase in between them. Providing absolute reference orbit number information in the metadata (item 1.7.15) allows users to validate the InSAR feasibility in between CEOS-ARD products.</w:t>
      </w:r>
    </w:p>
    <w:p>
      <w:pPr>
        <w:pStyle w:val="Textkrper"/>
      </w:pPr>
      <w:bookmarkStart w:id="287" w:name="eq:sar-topographic-phase-removal-eq3"/>
      <m:oMathPara>
        <m:oMathParaPr>
          <m:jc m:val="center"/>
        </m:oMathParaPr>
        <m:oMath>
          <m:sSub>
            <m:e>
              <m:r>
                <m:t>φ</m:t>
              </m:r>
            </m:e>
            <m:sub>
              <m:r>
                <m:rPr>
                  <m:nor/>
                  <m:sty m:val="p"/>
                </m:rPr>
                <m:t>Flattended</m:t>
              </m:r>
              <m:r>
                <m:rPr>
                  <m:sty m:val="p"/>
                </m:rPr>
                <m:t>_</m:t>
              </m:r>
              <m:r>
                <m:rPr>
                  <m:nor/>
                  <m:sty m:val="p"/>
                </m:rPr>
                <m:t>SLC</m:t>
              </m:r>
              <m:r>
                <m:rPr>
                  <m:sty m:val="p"/>
                </m:rPr>
                <m:t>_</m:t>
              </m:r>
              <m:r>
                <m:t>2</m:t>
              </m:r>
            </m:sub>
          </m:sSub>
          <m:r>
            <m:rPr>
              <m:sty m:val="p"/>
            </m:rPr>
            <m:t>=</m:t>
          </m:r>
          <m:sSub>
            <m:e>
              <m:r>
                <m:t>φ</m:t>
              </m:r>
            </m:e>
            <m:sub>
              <m:r>
                <m:rPr>
                  <m:nor/>
                  <m:sty m:val="p"/>
                </m:rPr>
                <m:t>SLC</m:t>
              </m:r>
              <m:r>
                <m:rPr>
                  <m:sty m:val="p"/>
                </m:rPr>
                <m:t>_</m:t>
              </m:r>
              <m:r>
                <m:t>2</m:t>
              </m:r>
            </m:sub>
          </m:sSub>
          <m:r>
            <m:rPr>
              <m:sty m:val="p"/>
            </m:rPr>
            <m:t>−</m:t>
          </m:r>
          <m:r>
            <m:rPr>
              <m:sty m:val="p"/>
            </m:rPr>
            <m:t>Δ</m:t>
          </m:r>
          <m:sSub>
            <m:e>
              <m:r>
                <m:t>φ</m:t>
              </m:r>
            </m:e>
            <m:sub>
              <m:r>
                <m:rPr>
                  <m:nor/>
                  <m:sty m:val="p"/>
                </m:rPr>
                <m:t>Topo</m:t>
              </m:r>
              <m:r>
                <m:rPr>
                  <m:sty m:val="p"/>
                </m:rPr>
                <m:t>_</m:t>
              </m:r>
              <m:r>
                <m:rPr>
                  <m:nor/>
                  <m:sty m:val="p"/>
                </m:rPr>
                <m:t>OrbRef</m:t>
              </m:r>
              <m:r>
                <m:rPr>
                  <m:sty m:val="p"/>
                </m:rPr>
                <m:t>−</m:t>
              </m:r>
              <m:r>
                <m:t>2</m:t>
              </m:r>
            </m:sub>
          </m:sSub>
          <m:r>
            <m:t>  </m:t>
          </m:r>
          <m:r>
            <m:rPr>
              <m:sty m:val="p"/>
            </m:rPr>
            <m:t>(</m:t>
          </m:r>
          <m:r>
            <m:t>3</m:t>
          </m:r>
          <m:r>
            <m:rPr>
              <m:sty m:val="p"/>
            </m:rPr>
            <m:t>)</m:t>
          </m:r>
        </m:oMath>
      </m:oMathPara>
      <w:bookmarkEnd w:id="287"/>
    </w:p>
    <w:p>
      <w:pPr>
        <w:pStyle w:val="FirstParagraph"/>
      </w:pPr>
      <w:r>
        <w:t xml:space="preserve">This procedure is equivalent to bring the position of the sensor platform of all the SAR acquisitions at the same orbital position (i.e., zeros baseline distance in between), which results in a Flattened phase</w:t>
      </w:r>
      <w:r>
        <w:t xml:space="preserve"> </w:t>
      </w:r>
      <m:oMath>
        <m:sSub>
          <m:e>
            <m:r>
              <m:t>φ</m:t>
            </m:r>
          </m:e>
          <m:sub>
            <m:r>
              <m:rPr>
                <m:nor/>
                <m:sty m:val="p"/>
              </m:rPr>
              <m:t>Flattended</m:t>
            </m:r>
            <m:r>
              <m:rPr>
                <m:sty m:val="p"/>
              </m:rPr>
              <m:t>_</m:t>
            </m:r>
            <m:r>
              <m:rPr>
                <m:nor/>
                <m:sty m:val="p"/>
              </m:rPr>
              <m:t>SLC</m:t>
            </m:r>
          </m:sub>
        </m:sSub>
      </m:oMath>
      <w:r>
        <w:t xml:space="preserve">, independent of the local topography.</w:t>
      </w:r>
    </w:p>
    <w:p>
      <w:pPr>
        <w:pStyle w:val="Textkrper"/>
      </w:pPr>
      <w:r>
        <w:t xml:space="preserve">The phase subtraction could be performed by using a motion compensation approach</w:t>
      </w:r>
      <w:r>
        <w:t xml:space="preserve"> </w:t>
      </w:r>
      <w:r>
        <w:t xml:space="preserve">(</w:t>
      </w:r>
      <w:hyperlink w:anchor="ref-zebker2010">
        <w:r>
          <w:rPr>
            <w:rStyle w:val="Hyperlink"/>
          </w:rPr>
          <w:t xml:space="preserve">Zebker et al. 2010</w:t>
        </w:r>
      </w:hyperlink>
      <w:r>
        <w:t xml:space="preserve">)</w:t>
      </w:r>
      <w:r>
        <w:t xml:space="preserve"> </w:t>
      </w:r>
      <w:r>
        <w:t xml:space="preserve">or directly on the SLC data. Then the geometrical correction is performed on the Flattened SLC, which results in a GSLC product.</w:t>
      </w:r>
    </w:p>
    <w:p>
      <w:pPr>
        <w:pStyle w:val="Textkrper"/>
      </w:pPr>
      <w:r>
        <w:t xml:space="preserve">GSLC can also be saved as a NRB product by including the Flattened Phase per-pixel data as follows:</w:t>
      </w:r>
    </w:p>
    <w:p>
      <w:pPr>
        <w:pStyle w:val="Textkrper"/>
      </w:pPr>
      <m:oMathPara>
        <m:oMathParaPr>
          <m:jc m:val="center"/>
        </m:oMathParaPr>
        <m:oMath>
          <m:r>
            <m:rPr>
              <m:nor/>
              <m:sty m:val="p"/>
            </m:rPr>
            <m:t>NRB:</m:t>
          </m:r>
          <m:r>
            <m:t> </m:t>
          </m:r>
          <m:sSubSup>
            <m:e>
              <m:r>
                <m:t>γ</m:t>
              </m:r>
            </m:e>
            <m:sub>
              <m:r>
                <m:t>T</m:t>
              </m:r>
            </m:sub>
            <m:sup>
              <m:r>
                <m:t>0</m:t>
              </m:r>
            </m:sup>
          </m:sSubSup>
          <m:r>
            <m:rPr>
              <m:sty m:val="p"/>
            </m:rPr>
            <m:t>=</m:t>
          </m:r>
          <m:r>
            <m:rPr>
              <m:sty m:val="p"/>
            </m:rPr>
            <m:t>|</m:t>
          </m:r>
          <m:r>
            <m:t>G</m:t>
          </m:r>
          <m:r>
            <m:t>S</m:t>
          </m:r>
          <m:r>
            <m:t>L</m:t>
          </m:r>
          <m:r>
            <m:t>C</m:t>
          </m:r>
          <m:sSup>
            <m:e>
              <m:r>
                <m:rPr>
                  <m:sty m:val="p"/>
                </m:rPr>
                <m:t>|</m:t>
              </m:r>
            </m:e>
            <m:sup>
              <m:r>
                <m:t>2</m:t>
              </m:r>
            </m:sup>
          </m:sSup>
        </m:oMath>
      </m:oMathPara>
    </w:p>
    <w:p>
      <w:pPr>
        <w:pStyle w:val="FirstParagraph"/>
      </w:pPr>
      <m:oMathPara>
        <m:oMathParaPr>
          <m:jc m:val="center"/>
        </m:oMathParaPr>
        <m:oMath>
          <m:r>
            <m:rPr>
              <m:nor/>
              <m:sty m:val="p"/>
            </m:rPr>
            <m:t>Flattended Phase:</m:t>
          </m:r>
          <m:r>
            <m:t> </m:t>
          </m:r>
          <m:sSub>
            <m:e>
              <m:r>
                <m:t>φ</m:t>
              </m:r>
            </m:e>
            <m:sub>
              <m:r>
                <m:rPr>
                  <m:nor/>
                  <m:sty m:val="p"/>
                </m:rPr>
                <m:t>Flattended</m:t>
              </m:r>
            </m:sub>
          </m:sSub>
          <m:r>
            <m:rPr>
              <m:sty m:val="p"/>
            </m:rPr>
            <m:t>=</m:t>
          </m:r>
          <m:r>
            <m:rPr>
              <m:sty m:val="p"/>
            </m:rPr>
            <m:t>arg</m:t>
          </m:r>
          <m:r>
            <m:rPr>
              <m:sty m:val="p"/>
            </m:rPr>
            <m:t>(</m:t>
          </m:r>
          <m:r>
            <m:t>G</m:t>
          </m:r>
          <m:r>
            <m:t>S</m:t>
          </m:r>
          <m:r>
            <m:t>L</m:t>
          </m:r>
          <m:r>
            <m:t>C</m:t>
          </m:r>
          <m:r>
            <m:rPr>
              <m:sty m:val="p"/>
            </m:rPr>
            <m:t>)</m:t>
          </m:r>
        </m:oMath>
      </m:oMathPara>
    </w:p>
    <w:p>
      <w:pPr>
        <w:pStyle w:val="FirstParagraph"/>
      </w:pPr>
      <w:r>
        <w:t xml:space="preserve">For POL product, the Flattened phase needs also to be subtracted from the complex number phase of the off-diagonal elements of the covariance matrix.</w:t>
      </w:r>
    </w:p>
    <w:p>
      <w:pPr>
        <w:pStyle w:val="Textkrper"/>
      </w:pPr>
      <w:r>
        <w:t xml:space="preserve">Demonstration:</w:t>
      </w:r>
    </w:p>
    <w:p>
      <w:pPr>
        <w:pStyle w:val="Textkrper"/>
      </w:pPr>
      <w:r>
        <w:t xml:space="preserve">From CEOS-ARD flattened SAR products, InSAR processing can be easily performed without dealing with topographic features and orbital sensor position, as for example with two GSLC products</w:t>
      </w:r>
    </w:p>
    <w:p>
      <w:pPr>
        <w:pStyle w:val="Textkrper"/>
      </w:pPr>
      <w:bookmarkStart w:id="288" w:name="eq:sar-topographic-phase-removal-eq4"/>
      <m:oMathPara>
        <m:oMathParaPr>
          <m:jc m:val="center"/>
        </m:oMathParaPr>
        <m:oMath>
          <m:sSub>
            <m:e>
              <m:r>
                <m:t>φ</m:t>
              </m:r>
            </m:e>
            <m:sub>
              <m:r>
                <m:rPr>
                  <m:nor/>
                  <m:sty m:val="p"/>
                </m:rPr>
                <m:t>Flattened</m:t>
              </m:r>
              <m:r>
                <m:rPr>
                  <m:sty m:val="p"/>
                </m:rPr>
                <m:t>_</m:t>
              </m:r>
              <m:r>
                <m:rPr>
                  <m:nor/>
                  <m:sty m:val="p"/>
                </m:rPr>
                <m:t>GSLC</m:t>
              </m:r>
              <m:r>
                <m:rPr>
                  <m:sty m:val="p"/>
                </m:rPr>
                <m:t>_</m:t>
              </m:r>
              <m:r>
                <m:t>1</m:t>
              </m:r>
            </m:sub>
          </m:sSub>
          <m:r>
            <m:rPr>
              <m:sty m:val="p"/>
            </m:rPr>
            <m:t>=</m:t>
          </m:r>
          <m:sSub>
            <m:e>
              <m:r>
                <m:t>φ</m:t>
              </m:r>
            </m:e>
            <m:sub>
              <m:r>
                <m:rPr>
                  <m:nor/>
                  <m:sty m:val="p"/>
                </m:rPr>
                <m:t>SLC</m:t>
              </m:r>
              <m:r>
                <m:rPr>
                  <m:sty m:val="p"/>
                </m:rPr>
                <m:t>_</m:t>
              </m:r>
              <m:r>
                <m:t>1</m:t>
              </m:r>
            </m:sub>
          </m:sSub>
          <m:r>
            <m:rPr>
              <m:sty m:val="p"/>
            </m:rPr>
            <m:t>−</m:t>
          </m:r>
          <m:r>
            <m:rPr>
              <m:sty m:val="p"/>
            </m:rPr>
            <m:t>Δ</m:t>
          </m:r>
          <m:sSub>
            <m:e>
              <m:r>
                <m:t>φ</m:t>
              </m:r>
            </m:e>
            <m:sub>
              <m:r>
                <m:rPr>
                  <m:nor/>
                  <m:sty m:val="p"/>
                </m:rPr>
                <m:t>Topo</m:t>
              </m:r>
              <m:r>
                <m:rPr>
                  <m:sty m:val="p"/>
                </m:rPr>
                <m:t>_</m:t>
              </m:r>
              <m:r>
                <m:rPr>
                  <m:nor/>
                  <m:sty m:val="p"/>
                </m:rPr>
                <m:t>OrbRef</m:t>
              </m:r>
              <m:r>
                <m:rPr>
                  <m:sty m:val="p"/>
                </m:rPr>
                <m:t>−</m:t>
              </m:r>
              <m:r>
                <m:t>1</m:t>
              </m:r>
            </m:sub>
          </m:sSub>
          <m:r>
            <m:rPr>
              <m:sty m:val="p"/>
            </m:rPr>
            <m:t>=</m:t>
          </m:r>
          <m:sSub>
            <m:e>
              <m:r>
                <m:t>φ</m:t>
              </m:r>
            </m:e>
            <m:sub>
              <m:r>
                <m:rPr>
                  <m:nor/>
                  <m:sty m:val="p"/>
                </m:rPr>
                <m:t>SLC</m:t>
              </m:r>
              <m:r>
                <m:rPr>
                  <m:sty m:val="p"/>
                </m:rPr>
                <m:t>_</m:t>
              </m:r>
              <m:r>
                <m:t>1</m:t>
              </m:r>
            </m:sub>
          </m:sSub>
          <m:r>
            <m:rPr>
              <m:sty m:val="p"/>
            </m:rPr>
            <m:t>−</m:t>
          </m:r>
          <m:sSub>
            <m:e>
              <m:r>
                <m:t>φ</m:t>
              </m:r>
            </m:e>
            <m:sub>
              <m:r>
                <m:rPr>
                  <m:nor/>
                  <m:sty m:val="p"/>
                </m:rPr>
                <m:t>DEM</m:t>
              </m:r>
              <m:r>
                <m:rPr>
                  <m:sty m:val="p"/>
                </m:rPr>
                <m:t>_</m:t>
              </m:r>
              <m:r>
                <m:rPr>
                  <m:nor/>
                  <m:sty m:val="p"/>
                </m:rPr>
                <m:t>OrbRef</m:t>
              </m:r>
            </m:sub>
          </m:sSub>
          <m:r>
            <m:rPr>
              <m:sty m:val="p"/>
            </m:rPr>
            <m:t>−</m:t>
          </m:r>
          <m:sSub>
            <m:e>
              <m:r>
                <m:t>φ</m:t>
              </m:r>
            </m:e>
            <m:sub>
              <m:r>
                <m:rPr>
                  <m:nor/>
                  <m:sty m:val="p"/>
                </m:rPr>
                <m:t>DEM</m:t>
              </m:r>
              <m:r>
                <m:rPr>
                  <m:sty m:val="p"/>
                </m:rPr>
                <m:t>_</m:t>
              </m:r>
              <m:r>
                <m:rPr>
                  <m:nor/>
                  <m:sty m:val="p"/>
                </m:rPr>
                <m:t>SLC</m:t>
              </m:r>
              <m:r>
                <m:rPr>
                  <m:sty m:val="p"/>
                </m:rPr>
                <m:t>_</m:t>
              </m:r>
              <m:r>
                <m:t>1</m:t>
              </m:r>
            </m:sub>
          </m:sSub>
          <m:r>
            <m:t>  </m:t>
          </m:r>
          <m:r>
            <m:rPr>
              <m:sty m:val="p"/>
            </m:rPr>
            <m:t>(</m:t>
          </m:r>
          <m:r>
            <m:t>4</m:t>
          </m:r>
          <m:r>
            <m:rPr>
              <m:sty m:val="p"/>
            </m:rPr>
            <m:t>)</m:t>
          </m:r>
        </m:oMath>
      </m:oMathPara>
      <w:bookmarkEnd w:id="288"/>
    </w:p>
    <w:p>
      <w:pPr>
        <w:pStyle w:val="FirstParagraph"/>
      </w:pPr>
      <w:bookmarkStart w:id="289" w:name="eq:sar-topographic-phase-removal-eq5"/>
      <m:oMathPara>
        <m:oMathParaPr>
          <m:jc m:val="center"/>
        </m:oMathParaPr>
        <m:oMath>
          <m:sSub>
            <m:e>
              <m:r>
                <m:t>φ</m:t>
              </m:r>
            </m:e>
            <m:sub>
              <m:r>
                <m:rPr>
                  <m:nor/>
                  <m:sty m:val="p"/>
                </m:rPr>
                <m:t>Flattened</m:t>
              </m:r>
              <m:r>
                <m:rPr>
                  <m:sty m:val="p"/>
                </m:rPr>
                <m:t>_</m:t>
              </m:r>
              <m:r>
                <m:rPr>
                  <m:nor/>
                  <m:sty m:val="p"/>
                </m:rPr>
                <m:t>GSLC</m:t>
              </m:r>
              <m:r>
                <m:rPr>
                  <m:sty m:val="p"/>
                </m:rPr>
                <m:t>_</m:t>
              </m:r>
              <m:r>
                <m:t>2</m:t>
              </m:r>
            </m:sub>
          </m:sSub>
          <m:r>
            <m:rPr>
              <m:sty m:val="p"/>
            </m:rPr>
            <m:t>=</m:t>
          </m:r>
          <m:sSub>
            <m:e>
              <m:r>
                <m:t>φ</m:t>
              </m:r>
            </m:e>
            <m:sub>
              <m:r>
                <m:rPr>
                  <m:nor/>
                  <m:sty m:val="p"/>
                </m:rPr>
                <m:t>SLC</m:t>
              </m:r>
              <m:r>
                <m:rPr>
                  <m:sty m:val="p"/>
                </m:rPr>
                <m:t>_</m:t>
              </m:r>
              <m:r>
                <m:t>2</m:t>
              </m:r>
            </m:sub>
          </m:sSub>
          <m:r>
            <m:rPr>
              <m:sty m:val="p"/>
            </m:rPr>
            <m:t>−</m:t>
          </m:r>
          <m:r>
            <m:rPr>
              <m:sty m:val="p"/>
            </m:rPr>
            <m:t>Δ</m:t>
          </m:r>
          <m:sSub>
            <m:e>
              <m:r>
                <m:t>φ</m:t>
              </m:r>
            </m:e>
            <m:sub>
              <m:r>
                <m:rPr>
                  <m:nor/>
                  <m:sty m:val="p"/>
                </m:rPr>
                <m:t>Topo</m:t>
              </m:r>
              <m:r>
                <m:rPr>
                  <m:sty m:val="p"/>
                </m:rPr>
                <m:t>_</m:t>
              </m:r>
              <m:r>
                <m:rPr>
                  <m:nor/>
                  <m:sty m:val="p"/>
                </m:rPr>
                <m:t>OrbRef</m:t>
              </m:r>
              <m:r>
                <m:rPr>
                  <m:sty m:val="p"/>
                </m:rPr>
                <m:t>−</m:t>
              </m:r>
              <m:r>
                <m:t>2</m:t>
              </m:r>
            </m:sub>
          </m:sSub>
          <m:r>
            <m:rPr>
              <m:sty m:val="p"/>
            </m:rPr>
            <m:t>=</m:t>
          </m:r>
          <m:sSub>
            <m:e>
              <m:r>
                <m:t>φ</m:t>
              </m:r>
            </m:e>
            <m:sub>
              <m:r>
                <m:rPr>
                  <m:nor/>
                  <m:sty m:val="p"/>
                </m:rPr>
                <m:t>SLC</m:t>
              </m:r>
              <m:r>
                <m:rPr>
                  <m:sty m:val="p"/>
                </m:rPr>
                <m:t>_</m:t>
              </m:r>
              <m:r>
                <m:t>2</m:t>
              </m:r>
            </m:sub>
          </m:sSub>
          <m:r>
            <m:rPr>
              <m:sty m:val="p"/>
            </m:rPr>
            <m:t>−</m:t>
          </m:r>
          <m:sSub>
            <m:e>
              <m:r>
                <m:t>φ</m:t>
              </m:r>
            </m:e>
            <m:sub>
              <m:r>
                <m:rPr>
                  <m:nor/>
                  <m:sty m:val="p"/>
                </m:rPr>
                <m:t>DEM</m:t>
              </m:r>
              <m:r>
                <m:rPr>
                  <m:sty m:val="p"/>
                </m:rPr>
                <m:t>_</m:t>
              </m:r>
              <m:r>
                <m:rPr>
                  <m:nor/>
                  <m:sty m:val="p"/>
                </m:rPr>
                <m:t>OrbRef</m:t>
              </m:r>
            </m:sub>
          </m:sSub>
          <m:r>
            <m:rPr>
              <m:sty m:val="p"/>
            </m:rPr>
            <m:t>−</m:t>
          </m:r>
          <m:sSub>
            <m:e>
              <m:r>
                <m:t>φ</m:t>
              </m:r>
            </m:e>
            <m:sub>
              <m:r>
                <m:rPr>
                  <m:nor/>
                  <m:sty m:val="p"/>
                </m:rPr>
                <m:t>DEM</m:t>
              </m:r>
              <m:r>
                <m:rPr>
                  <m:sty m:val="p"/>
                </m:rPr>
                <m:t>_</m:t>
              </m:r>
              <m:r>
                <m:rPr>
                  <m:nor/>
                  <m:sty m:val="p"/>
                </m:rPr>
                <m:t>SLC</m:t>
              </m:r>
              <m:r>
                <m:rPr>
                  <m:sty m:val="p"/>
                </m:rPr>
                <m:t>_</m:t>
              </m:r>
              <m:r>
                <m:t>2</m:t>
              </m:r>
            </m:sub>
          </m:sSub>
          <m:r>
            <m:t>  </m:t>
          </m:r>
          <m:r>
            <m:rPr>
              <m:sty m:val="p"/>
            </m:rPr>
            <m:t>(</m:t>
          </m:r>
          <m:r>
            <m:t>5</m:t>
          </m:r>
          <m:r>
            <m:rPr>
              <m:sty m:val="p"/>
            </m:rPr>
            <m:t>)</m:t>
          </m:r>
        </m:oMath>
      </m:oMathPara>
      <w:bookmarkEnd w:id="289"/>
    </w:p>
    <w:p>
      <w:pPr>
        <w:pStyle w:val="FirstParagraph"/>
      </w:pPr>
      <w:r>
        <w:t xml:space="preserve">The differential phase is</w:t>
      </w:r>
    </w:p>
    <w:p>
      <w:pPr>
        <w:pStyle w:val="Textkrper"/>
      </w:pPr>
      <w:bookmarkStart w:id="290" w:name="eq:sar-topographic-phase-removal-eq6"/>
      <m:oMathPara>
        <m:oMathParaPr>
          <m:jc m:val="center"/>
        </m:oMathParaPr>
        <m:oMath>
          <m:r>
            <m:rPr>
              <m:sty m:val="p"/>
            </m:rPr>
            <m:t>Δ</m:t>
          </m:r>
          <m:sSub>
            <m:e>
              <m:r>
                <m:t>φ</m:t>
              </m:r>
            </m:e>
            <m:sub>
              <m:r>
                <m:rPr>
                  <m:nor/>
                  <m:sty m:val="p"/>
                </m:rPr>
                <m:t>CARD</m:t>
              </m:r>
              <m:r>
                <m:rPr>
                  <m:sty m:val="p"/>
                </m:rPr>
                <m:t>_</m:t>
              </m:r>
              <m:r>
                <m:t>1</m:t>
              </m:r>
              <m:r>
                <m:rPr>
                  <m:sty m:val="p"/>
                </m:rPr>
                <m:t>−</m:t>
              </m:r>
              <m:r>
                <m:rPr>
                  <m:nor/>
                  <m:sty m:val="p"/>
                </m:rPr>
                <m:t>CARD</m:t>
              </m:r>
              <m:r>
                <m:rPr>
                  <m:sty m:val="p"/>
                </m:rPr>
                <m:t>_</m:t>
              </m:r>
              <m:r>
                <m:t>2</m:t>
              </m:r>
            </m:sub>
          </m:sSub>
          <m:r>
            <m:rPr>
              <m:sty m:val="p"/>
            </m:rPr>
            <m:t>=</m:t>
          </m:r>
          <m:sSub>
            <m:e>
              <m:r>
                <m:t>φ</m:t>
              </m:r>
            </m:e>
            <m:sub>
              <m:r>
                <m:rPr>
                  <m:nor/>
                  <m:sty m:val="p"/>
                </m:rPr>
                <m:t>Flattened</m:t>
              </m:r>
              <m:r>
                <m:rPr>
                  <m:sty m:val="p"/>
                </m:rPr>
                <m:t>_</m:t>
              </m:r>
              <m:r>
                <m:rPr>
                  <m:nor/>
                  <m:sty m:val="p"/>
                </m:rPr>
                <m:t>GSLC</m:t>
              </m:r>
              <m:r>
                <m:rPr>
                  <m:sty m:val="p"/>
                </m:rPr>
                <m:t>_</m:t>
              </m:r>
              <m:r>
                <m:t>1</m:t>
              </m:r>
            </m:sub>
          </m:sSub>
          <m:r>
            <m:rPr>
              <m:sty m:val="p"/>
            </m:rPr>
            <m:t>−</m:t>
          </m:r>
          <m:sSub>
            <m:e>
              <m:r>
                <m:t>φ</m:t>
              </m:r>
            </m:e>
            <m:sub>
              <m:r>
                <m:rPr>
                  <m:nor/>
                  <m:sty m:val="p"/>
                </m:rPr>
                <m:t>Flattened</m:t>
              </m:r>
              <m:r>
                <m:rPr>
                  <m:sty m:val="p"/>
                </m:rPr>
                <m:t>_</m:t>
              </m:r>
              <m:r>
                <m:rPr>
                  <m:nor/>
                  <m:sty m:val="p"/>
                </m:rPr>
                <m:t>GSLC</m:t>
              </m:r>
              <m:r>
                <m:rPr>
                  <m:sty m:val="p"/>
                </m:rPr>
                <m:t>_</m:t>
              </m:r>
              <m:r>
                <m:t>2</m:t>
              </m:r>
            </m:sub>
          </m:sSub>
          <m:r>
            <m:t>  </m:t>
          </m:r>
          <m:r>
            <m:rPr>
              <m:sty m:val="p"/>
            </m:rPr>
            <m:t>(</m:t>
          </m:r>
          <m:r>
            <m:t>6</m:t>
          </m:r>
          <m:r>
            <m:rPr>
              <m:sty m:val="p"/>
            </m:rPr>
            <m:t>)</m:t>
          </m:r>
        </m:oMath>
      </m:oMathPara>
      <w:bookmarkEnd w:id="290"/>
    </w:p>
    <w:p>
      <w:pPr>
        <w:pStyle w:val="FirstParagraph"/>
      </w:pPr>
      <w:r>
        <w:t xml:space="preserve">Which can be expanded using (Eq. </w:t>
      </w:r>
      <w:hyperlink w:anchor="eq:sar-topographic-phase-removal-eq3">
        <w:r>
          <w:rPr>
            <w:rStyle w:val="Hyperlink"/>
          </w:rPr>
          <w:t xml:space="preserve">3</w:t>
        </w:r>
      </w:hyperlink>
      <w:r>
        <w:t xml:space="preserve">)</w:t>
      </w:r>
    </w:p>
    <w:p>
      <w:pPr>
        <w:pStyle w:val="Textkrper"/>
      </w:pPr>
      <w:bookmarkStart w:id="291" w:name="eq:sar-topographic-phase-removal-eq7"/>
      <m:oMathPara>
        <m:oMathParaPr>
          <m:jc m:val="center"/>
        </m:oMathParaPr>
        <m:oMath>
          <m:r>
            <m:rPr>
              <m:sty m:val="p"/>
            </m:rPr>
            <m:t>Δ</m:t>
          </m:r>
          <m:sSub>
            <m:e>
              <m:r>
                <m:t>φ</m:t>
              </m:r>
            </m:e>
            <m:sub>
              <m:r>
                <m:rPr>
                  <m:nor/>
                  <m:sty m:val="p"/>
                </m:rPr>
                <m:t>CARD</m:t>
              </m:r>
              <m:r>
                <m:rPr>
                  <m:sty m:val="p"/>
                </m:rPr>
                <m:t>_</m:t>
              </m:r>
              <m:r>
                <m:t>1</m:t>
              </m:r>
              <m:r>
                <m:rPr>
                  <m:sty m:val="p"/>
                </m:rPr>
                <m:t>−</m:t>
              </m:r>
              <m:r>
                <m:rPr>
                  <m:nor/>
                  <m:sty m:val="p"/>
                </m:rPr>
                <m:t>CARD</m:t>
              </m:r>
              <m:r>
                <m:rPr>
                  <m:sty m:val="p"/>
                </m:rPr>
                <m:t>_</m:t>
              </m:r>
              <m:r>
                <m:t>2</m:t>
              </m:r>
            </m:sub>
          </m:sSub>
          <m:r>
            <m:rPr>
              <m:sty m:val="p"/>
            </m:rPr>
            <m:t>=</m:t>
          </m:r>
          <m:r>
            <m:rPr>
              <m:sty m:val="p"/>
            </m:rPr>
            <m:t>(</m:t>
          </m:r>
          <m:sSub>
            <m:e>
              <m:r>
                <m:t>φ</m:t>
              </m:r>
            </m:e>
            <m:sub>
              <m:r>
                <m:rPr>
                  <m:nor/>
                  <m:sty m:val="p"/>
                </m:rPr>
                <m:t>SLC</m:t>
              </m:r>
              <m:r>
                <m:rPr>
                  <m:sty m:val="p"/>
                </m:rPr>
                <m:t>_</m:t>
              </m:r>
              <m:r>
                <m:t>1</m:t>
              </m:r>
            </m:sub>
          </m:sSub>
          <m:r>
            <m:rPr>
              <m:sty m:val="p"/>
            </m:rPr>
            <m:t>−</m:t>
          </m:r>
          <m:sSub>
            <m:e>
              <m:r>
                <m:t>φ</m:t>
              </m:r>
            </m:e>
            <m:sub>
              <m:r>
                <m:rPr>
                  <m:nor/>
                  <m:sty m:val="p"/>
                </m:rPr>
                <m:t>DEM</m:t>
              </m:r>
              <m:r>
                <m:rPr>
                  <m:sty m:val="p"/>
                </m:rPr>
                <m:t>_</m:t>
              </m:r>
              <m:r>
                <m:rPr>
                  <m:nor/>
                  <m:sty m:val="p"/>
                </m:rPr>
                <m:t>OrbRef</m:t>
              </m:r>
            </m:sub>
          </m:sSub>
          <m:r>
            <m:rPr>
              <m:sty m:val="p"/>
            </m:rPr>
            <m:t>−</m:t>
          </m:r>
          <m:sSub>
            <m:e>
              <m:r>
                <m:t>φ</m:t>
              </m:r>
            </m:e>
            <m:sub>
              <m:r>
                <m:rPr>
                  <m:nor/>
                  <m:sty m:val="p"/>
                </m:rPr>
                <m:t>DEM</m:t>
              </m:r>
              <m:r>
                <m:rPr>
                  <m:sty m:val="p"/>
                </m:rPr>
                <m:t>_</m:t>
              </m:r>
              <m:r>
                <m:rPr>
                  <m:nor/>
                  <m:sty m:val="p"/>
                </m:rPr>
                <m:t>SLC</m:t>
              </m:r>
              <m:r>
                <m:rPr>
                  <m:sty m:val="p"/>
                </m:rPr>
                <m:t>_</m:t>
              </m:r>
              <m:r>
                <m:t>1</m:t>
              </m:r>
            </m:sub>
          </m:sSub>
          <m:r>
            <m:rPr>
              <m:sty m:val="p"/>
            </m:rPr>
            <m:t>)</m:t>
          </m:r>
          <m:r>
            <m:rPr>
              <m:sty m:val="p"/>
            </m:rPr>
            <m:t>−</m:t>
          </m:r>
          <m:r>
            <m:rPr>
              <m:sty m:val="p"/>
            </m:rPr>
            <m:t>(</m:t>
          </m:r>
          <m:sSub>
            <m:e>
              <m:r>
                <m:t>φ</m:t>
              </m:r>
            </m:e>
            <m:sub>
              <m:r>
                <m:rPr>
                  <m:nor/>
                  <m:sty m:val="p"/>
                </m:rPr>
                <m:t>SLC</m:t>
              </m:r>
              <m:r>
                <m:rPr>
                  <m:sty m:val="p"/>
                </m:rPr>
                <m:t>_</m:t>
              </m:r>
              <m:r>
                <m:t>2</m:t>
              </m:r>
            </m:sub>
          </m:sSub>
          <m:r>
            <m:rPr>
              <m:sty m:val="p"/>
            </m:rPr>
            <m:t>−</m:t>
          </m:r>
          <m:sSub>
            <m:e>
              <m:r>
                <m:t>φ</m:t>
              </m:r>
            </m:e>
            <m:sub>
              <m:r>
                <m:rPr>
                  <m:nor/>
                  <m:sty m:val="p"/>
                </m:rPr>
                <m:t>DEM</m:t>
              </m:r>
              <m:r>
                <m:rPr>
                  <m:sty m:val="p"/>
                </m:rPr>
                <m:t>_</m:t>
              </m:r>
              <m:r>
                <m:rPr>
                  <m:nor/>
                  <m:sty m:val="p"/>
                </m:rPr>
                <m:t>OrbRef</m:t>
              </m:r>
            </m:sub>
          </m:sSub>
          <m:r>
            <m:rPr>
              <m:sty m:val="p"/>
            </m:rPr>
            <m:t>−</m:t>
          </m:r>
          <m:sSub>
            <m:e>
              <m:r>
                <m:t>φ</m:t>
              </m:r>
            </m:e>
            <m:sub>
              <m:r>
                <m:rPr>
                  <m:nor/>
                  <m:sty m:val="p"/>
                </m:rPr>
                <m:t>DEM</m:t>
              </m:r>
              <m:r>
                <m:rPr>
                  <m:sty m:val="p"/>
                </m:rPr>
                <m:t>_</m:t>
              </m:r>
              <m:r>
                <m:rPr>
                  <m:nor/>
                  <m:sty m:val="p"/>
                </m:rPr>
                <m:t>SLC</m:t>
              </m:r>
              <m:r>
                <m:rPr>
                  <m:sty m:val="p"/>
                </m:rPr>
                <m:t>_</m:t>
              </m:r>
              <m:r>
                <m:t>2</m:t>
              </m:r>
            </m:sub>
          </m:sSub>
          <m:r>
            <m:rPr>
              <m:sty m:val="p"/>
            </m:rPr>
            <m:t>)</m:t>
          </m:r>
          <m:r>
            <m:t>  </m:t>
          </m:r>
          <m:r>
            <m:rPr>
              <m:sty m:val="p"/>
            </m:rPr>
            <m:t>(</m:t>
          </m:r>
          <m:r>
            <m:t>7</m:t>
          </m:r>
          <m:r>
            <m:rPr>
              <m:sty m:val="p"/>
            </m:rPr>
            <m:t>)</m:t>
          </m:r>
        </m:oMath>
      </m:oMathPara>
      <w:bookmarkEnd w:id="291"/>
    </w:p>
    <w:p>
      <w:pPr>
        <w:pStyle w:val="FirstParagraph"/>
      </w:pPr>
      <w:bookmarkStart w:id="292" w:name="eq:sar-topographic-phase-removal-eq8"/>
      <m:oMathPara>
        <m:oMathParaPr>
          <m:jc m:val="center"/>
        </m:oMathParaPr>
        <m:oMath>
          <m:r>
            <m:rPr>
              <m:sty m:val="p"/>
            </m:rPr>
            <m:t>Δ</m:t>
          </m:r>
          <m:sSub>
            <m:e>
              <m:r>
                <m:t>φ</m:t>
              </m:r>
            </m:e>
            <m:sub>
              <m:r>
                <m:rPr>
                  <m:nor/>
                  <m:sty m:val="p"/>
                </m:rPr>
                <m:t>CARD</m:t>
              </m:r>
              <m:r>
                <m:rPr>
                  <m:sty m:val="p"/>
                </m:rPr>
                <m:t>_</m:t>
              </m:r>
              <m:r>
                <m:t>1</m:t>
              </m:r>
              <m:r>
                <m:rPr>
                  <m:sty m:val="p"/>
                </m:rPr>
                <m:t>−</m:t>
              </m:r>
              <m:r>
                <m:rPr>
                  <m:nor/>
                  <m:sty m:val="p"/>
                </m:rPr>
                <m:t>CARD</m:t>
              </m:r>
              <m:r>
                <m:rPr>
                  <m:sty m:val="p"/>
                </m:rPr>
                <m:t>_</m:t>
              </m:r>
              <m:r>
                <m:t>2</m:t>
              </m:r>
            </m:sub>
          </m:sSub>
          <m:r>
            <m:rPr>
              <m:sty m:val="p"/>
            </m:rPr>
            <m:t>=</m:t>
          </m:r>
          <m:r>
            <m:rPr>
              <m:sty m:val="p"/>
            </m:rPr>
            <m:t>(</m:t>
          </m:r>
          <m:sSub>
            <m:e>
              <m:r>
                <m:t>φ</m:t>
              </m:r>
            </m:e>
            <m:sub>
              <m:r>
                <m:rPr>
                  <m:nor/>
                  <m:sty m:val="p"/>
                </m:rPr>
                <m:t>SLC</m:t>
              </m:r>
              <m:r>
                <m:rPr>
                  <m:sty m:val="p"/>
                </m:rPr>
                <m:t>_</m:t>
              </m:r>
              <m:r>
                <m:t>1</m:t>
              </m:r>
            </m:sub>
          </m:sSub>
          <m:r>
            <m:rPr>
              <m:sty m:val="p"/>
            </m:rPr>
            <m:t>−</m:t>
          </m:r>
          <m:sSub>
            <m:e>
              <m:r>
                <m:t>φ</m:t>
              </m:r>
            </m:e>
            <m:sub>
              <m:r>
                <m:rPr>
                  <m:nor/>
                  <m:sty m:val="p"/>
                </m:rPr>
                <m:t>SLC</m:t>
              </m:r>
              <m:r>
                <m:rPr>
                  <m:sty m:val="p"/>
                </m:rPr>
                <m:t>_</m:t>
              </m:r>
              <m:r>
                <m:t>2</m:t>
              </m:r>
            </m:sub>
          </m:sSub>
          <m:r>
            <m:rPr>
              <m:sty m:val="p"/>
            </m:rPr>
            <m:t>)</m:t>
          </m:r>
          <m:r>
            <m:rPr>
              <m:sty m:val="p"/>
            </m:rPr>
            <m:t>−</m:t>
          </m:r>
          <m:r>
            <m:rPr>
              <m:sty m:val="p"/>
            </m:rPr>
            <m:t>(</m:t>
          </m:r>
          <m:sSub>
            <m:e>
              <m:r>
                <m:t>φ</m:t>
              </m:r>
            </m:e>
            <m:sub>
              <m:r>
                <m:rPr>
                  <m:nor/>
                  <m:sty m:val="p"/>
                </m:rPr>
                <m:t>DEM</m:t>
              </m:r>
              <m:r>
                <m:rPr>
                  <m:sty m:val="p"/>
                </m:rPr>
                <m:t>_</m:t>
              </m:r>
              <m:r>
                <m:rPr>
                  <m:nor/>
                  <m:sty m:val="p"/>
                </m:rPr>
                <m:t>SLC</m:t>
              </m:r>
              <m:r>
                <m:rPr>
                  <m:sty m:val="p"/>
                </m:rPr>
                <m:t>_</m:t>
              </m:r>
              <m:r>
                <m:t>1</m:t>
              </m:r>
            </m:sub>
          </m:sSub>
          <m:r>
            <m:rPr>
              <m:sty m:val="p"/>
            </m:rPr>
            <m:t>)</m:t>
          </m:r>
          <m:r>
            <m:rPr>
              <m:sty m:val="p"/>
            </m:rPr>
            <m:t>−</m:t>
          </m:r>
          <m:sSub>
            <m:e>
              <m:r>
                <m:t>φ</m:t>
              </m:r>
            </m:e>
            <m:sub>
              <m:r>
                <m:rPr>
                  <m:nor/>
                  <m:sty m:val="p"/>
                </m:rPr>
                <m:t>DEM</m:t>
              </m:r>
              <m:r>
                <m:rPr>
                  <m:sty m:val="p"/>
                </m:rPr>
                <m:t>_</m:t>
              </m:r>
              <m:r>
                <m:rPr>
                  <m:nor/>
                  <m:sty m:val="p"/>
                </m:rPr>
                <m:t>SLC</m:t>
              </m:r>
              <m:r>
                <m:rPr>
                  <m:sty m:val="p"/>
                </m:rPr>
                <m:t>_</m:t>
              </m:r>
              <m:r>
                <m:t>2</m:t>
              </m:r>
            </m:sub>
          </m:sSub>
          <m:r>
            <m:rPr>
              <m:sty m:val="p"/>
            </m:rPr>
            <m:t>)</m:t>
          </m:r>
          <m:r>
            <m:t>  </m:t>
          </m:r>
          <m:r>
            <m:rPr>
              <m:sty m:val="p"/>
            </m:rPr>
            <m:t>(</m:t>
          </m:r>
          <m:r>
            <m:t>8</m:t>
          </m:r>
          <m:r>
            <m:rPr>
              <m:sty m:val="p"/>
            </m:rPr>
            <m:t>)</m:t>
          </m:r>
        </m:oMath>
      </m:oMathPara>
      <w:bookmarkEnd w:id="292"/>
    </w:p>
    <w:p>
      <w:pPr>
        <w:pStyle w:val="FirstParagraph"/>
      </w:pPr>
      <w:bookmarkStart w:id="293" w:name="eq:sar-topographic-phase-removal-eq9"/>
      <m:oMathPara>
        <m:oMathParaPr>
          <m:jc m:val="center"/>
        </m:oMathParaPr>
        <m:oMath>
          <m:r>
            <m:rPr>
              <m:sty m:val="p"/>
            </m:rPr>
            <m:t>Δ</m:t>
          </m:r>
          <m:sSub>
            <m:e>
              <m:r>
                <m:t>φ</m:t>
              </m:r>
            </m:e>
            <m:sub>
              <m:r>
                <m:rPr>
                  <m:nor/>
                  <m:sty m:val="p"/>
                </m:rPr>
                <m:t>CARD</m:t>
              </m:r>
              <m:r>
                <m:rPr>
                  <m:sty m:val="p"/>
                </m:rPr>
                <m:t>_</m:t>
              </m:r>
              <m:r>
                <m:t>1</m:t>
              </m:r>
              <m:r>
                <m:rPr>
                  <m:sty m:val="p"/>
                </m:rPr>
                <m:t>−</m:t>
              </m:r>
              <m:r>
                <m:rPr>
                  <m:nor/>
                  <m:sty m:val="p"/>
                </m:rPr>
                <m:t>CARD</m:t>
              </m:r>
              <m:r>
                <m:rPr>
                  <m:sty m:val="p"/>
                </m:rPr>
                <m:t>_</m:t>
              </m:r>
              <m:r>
                <m:t>2</m:t>
              </m:r>
            </m:sub>
          </m:sSub>
          <m:r>
            <m:rPr>
              <m:sty m:val="p"/>
            </m:rPr>
            <m:t>=</m:t>
          </m:r>
          <m:r>
            <m:rPr>
              <m:sty m:val="p"/>
            </m:rPr>
            <m:t>Δ</m:t>
          </m:r>
          <m:sSub>
            <m:e>
              <m:r>
                <m:t>φ</m:t>
              </m:r>
            </m:e>
            <m:sub>
              <m:r>
                <m:rPr>
                  <m:nor/>
                  <m:sty m:val="p"/>
                </m:rPr>
                <m:t>SLC</m:t>
              </m:r>
              <m:r>
                <m:rPr>
                  <m:sty m:val="p"/>
                </m:rPr>
                <m:t>_</m:t>
              </m:r>
              <m:r>
                <m:t>1</m:t>
              </m:r>
              <m:r>
                <m:rPr>
                  <m:sty m:val="p"/>
                </m:rPr>
                <m:t>−</m:t>
              </m:r>
              <m:r>
                <m:rPr>
                  <m:nor/>
                  <m:sty m:val="p"/>
                </m:rPr>
                <m:t>SLC</m:t>
              </m:r>
              <m:r>
                <m:rPr>
                  <m:sty m:val="p"/>
                </m:rPr>
                <m:t>_</m:t>
              </m:r>
              <m:r>
                <m:t>2</m:t>
              </m:r>
            </m:sub>
          </m:sSub>
          <m:r>
            <m:rPr>
              <m:sty m:val="p"/>
            </m:rPr>
            <m:t>−</m:t>
          </m:r>
          <m:r>
            <m:rPr>
              <m:sty m:val="p"/>
            </m:rPr>
            <m:t>Δ</m:t>
          </m:r>
          <m:sSub>
            <m:e>
              <m:r>
                <m:t>φ</m:t>
              </m:r>
            </m:e>
            <m:sub>
              <m:r>
                <m:rPr>
                  <m:nor/>
                  <m:sty m:val="p"/>
                </m:rPr>
                <m:t>Topo</m:t>
              </m:r>
              <m:r>
                <m:rPr>
                  <m:sty m:val="p"/>
                </m:rPr>
                <m:t>_</m:t>
              </m:r>
              <m:r>
                <m:t>1</m:t>
              </m:r>
              <m:r>
                <m:rPr>
                  <m:sty m:val="p"/>
                </m:rPr>
                <m:t>−</m:t>
              </m:r>
              <m:r>
                <m:t>2</m:t>
              </m:r>
            </m:sub>
          </m:sSub>
          <m:r>
            <m:t>  </m:t>
          </m:r>
          <m:r>
            <m:rPr>
              <m:sty m:val="p"/>
            </m:rPr>
            <m:t>(</m:t>
          </m:r>
          <m:r>
            <m:t>9</m:t>
          </m:r>
          <m:r>
            <m:rPr>
              <m:sty m:val="p"/>
            </m:rPr>
            <m:t>)</m:t>
          </m:r>
        </m:oMath>
      </m:oMathPara>
      <w:bookmarkEnd w:id="293"/>
    </w:p>
    <w:p>
      <w:pPr>
        <w:pStyle w:val="FirstParagraph"/>
      </w:pPr>
      <w:r>
        <w:t xml:space="preserve">Where</w:t>
      </w:r>
      <w:r>
        <w:t xml:space="preserve"> </w:t>
      </w:r>
      <m:oMath>
        <m:r>
          <m:rPr>
            <m:sty m:val="p"/>
          </m:rPr>
          <m:t>Δ</m:t>
        </m:r>
        <m:sSub>
          <m:e>
            <m:r>
              <m:t>φ</m:t>
            </m:r>
          </m:e>
          <m:sub>
            <m:r>
              <m:rPr>
                <m:nor/>
                <m:sty m:val="p"/>
              </m:rPr>
              <m:t>SLC</m:t>
            </m:r>
            <m:r>
              <m:rPr>
                <m:sty m:val="p"/>
              </m:rPr>
              <m:t>_</m:t>
            </m:r>
            <m:r>
              <m:t>1</m:t>
            </m:r>
            <m:r>
              <m:rPr>
                <m:sty m:val="p"/>
              </m:rPr>
              <m:t>−</m:t>
            </m:r>
            <m:r>
              <m:rPr>
                <m:nor/>
                <m:sty m:val="p"/>
              </m:rPr>
              <m:t>SLC</m:t>
            </m:r>
            <m:r>
              <m:rPr>
                <m:sty m:val="p"/>
              </m:rPr>
              <m:t>_</m:t>
            </m:r>
            <m:r>
              <m:t>2</m:t>
            </m:r>
          </m:sub>
        </m:sSub>
      </m:oMath>
      <w:r>
        <w:t xml:space="preserve"> </w:t>
      </w:r>
      <w:r>
        <w:t xml:space="preserve">can be express as Eq. </w:t>
      </w:r>
      <w:hyperlink w:anchor="eq:sar-topographic-phase-removal-eq1">
        <w:r>
          <w:rPr>
            <w:rStyle w:val="Hyperlink"/>
          </w:rPr>
          <w:t xml:space="preserve">1</w:t>
        </w:r>
      </w:hyperlink>
      <w:r>
        <w:t xml:space="preserve">, which gives</w:t>
      </w:r>
    </w:p>
    <w:p>
      <w:pPr>
        <w:pStyle w:val="Textkrper"/>
      </w:pPr>
      <w:bookmarkStart w:id="294" w:name="eq:sar-topographic-phase-removal-eq10"/>
      <m:oMathPara>
        <m:oMathParaPr>
          <m:jc m:val="center"/>
        </m:oMathParaPr>
        <m:oMath>
          <m:r>
            <m:rPr>
              <m:sty m:val="p"/>
            </m:rPr>
            <m:t>Δ</m:t>
          </m:r>
          <m:sSub>
            <m:e>
              <m:r>
                <m:t>φ</m:t>
              </m:r>
            </m:e>
            <m:sub>
              <m:r>
                <m:rPr>
                  <m:nor/>
                  <m:sty m:val="p"/>
                </m:rPr>
                <m:t>CARD</m:t>
              </m:r>
              <m:r>
                <m:rPr>
                  <m:sty m:val="p"/>
                </m:rPr>
                <m:t>_</m:t>
              </m:r>
              <m:r>
                <m:t>1</m:t>
              </m:r>
              <m:r>
                <m:rPr>
                  <m:sty m:val="p"/>
                </m:rPr>
                <m:t>−</m:t>
              </m:r>
              <m:r>
                <m:rPr>
                  <m:nor/>
                  <m:sty m:val="p"/>
                </m:rPr>
                <m:t>CARD</m:t>
              </m:r>
              <m:r>
                <m:rPr>
                  <m:sty m:val="p"/>
                </m:rPr>
                <m:t>_</m:t>
              </m:r>
              <m:r>
                <m:t>2</m:t>
              </m:r>
            </m:sub>
          </m:sSub>
          <m:r>
            <m:rPr>
              <m:sty m:val="p"/>
            </m:rPr>
            <m:t>=</m:t>
          </m:r>
          <m:r>
            <m:rPr>
              <m:sty m:val="p"/>
            </m:rPr>
            <m:t>(</m:t>
          </m:r>
          <m:r>
            <m:rPr>
              <m:sty m:val="p"/>
            </m:rPr>
            <m:t>Δ</m:t>
          </m:r>
          <m:sSub>
            <m:e>
              <m:r>
                <m:t>φ</m:t>
              </m:r>
            </m:e>
            <m:sub>
              <m:r>
                <m:rPr>
                  <m:nor/>
                  <m:sty m:val="p"/>
                </m:rPr>
                <m:t>Topo</m:t>
              </m:r>
              <m:r>
                <m:rPr>
                  <m:sty m:val="p"/>
                </m:rPr>
                <m:t>_</m:t>
              </m:r>
              <m:r>
                <m:t>1</m:t>
              </m:r>
              <m:r>
                <m:rPr>
                  <m:sty m:val="p"/>
                </m:rPr>
                <m:t>−</m:t>
              </m:r>
              <m:r>
                <m:t>2</m:t>
              </m:r>
            </m:sub>
          </m:sSub>
          <m:r>
            <m:rPr>
              <m:sty m:val="p"/>
            </m:rPr>
            <m:t>+</m:t>
          </m:r>
          <m:r>
            <m:rPr>
              <m:sty m:val="p"/>
            </m:rPr>
            <m:t>Δ</m:t>
          </m:r>
          <m:sSub>
            <m:e>
              <m:r>
                <m:t>φ</m:t>
              </m:r>
            </m:e>
            <m:sub>
              <m:r>
                <m:rPr>
                  <m:nor/>
                  <m:sty m:val="p"/>
                </m:rPr>
                <m:t>Disp</m:t>
              </m:r>
              <m:r>
                <m:rPr>
                  <m:sty m:val="p"/>
                </m:rPr>
                <m:t>_</m:t>
              </m:r>
              <m:r>
                <m:t>1</m:t>
              </m:r>
              <m:r>
                <m:rPr>
                  <m:sty m:val="p"/>
                </m:rPr>
                <m:t>−</m:t>
              </m:r>
              <m:r>
                <m:t>2</m:t>
              </m:r>
            </m:sub>
          </m:sSub>
          <m:r>
            <m:rPr>
              <m:sty m:val="p"/>
            </m:rPr>
            <m:t>+</m:t>
          </m:r>
          <m:r>
            <m:rPr>
              <m:sty m:val="p"/>
            </m:rPr>
            <m:t>Δ</m:t>
          </m:r>
          <m:sSub>
            <m:e>
              <m:r>
                <m:t>φ</m:t>
              </m:r>
            </m:e>
            <m:sub>
              <m:r>
                <m:rPr>
                  <m:nor/>
                  <m:sty m:val="p"/>
                </m:rPr>
                <m:t>Noise</m:t>
              </m:r>
              <m:r>
                <m:rPr>
                  <m:sty m:val="p"/>
                </m:rPr>
                <m:t>_</m:t>
              </m:r>
              <m:r>
                <m:t>1</m:t>
              </m:r>
              <m:r>
                <m:rPr>
                  <m:sty m:val="p"/>
                </m:rPr>
                <m:t>−</m:t>
              </m:r>
              <m:r>
                <m:t>2</m:t>
              </m:r>
            </m:sub>
          </m:sSub>
          <m:r>
            <m:rPr>
              <m:sty m:val="p"/>
            </m:rPr>
            <m:t>)</m:t>
          </m:r>
          <m:r>
            <m:rPr>
              <m:sty m:val="p"/>
            </m:rPr>
            <m:t>−</m:t>
          </m:r>
          <m:r>
            <m:rPr>
              <m:sty m:val="p"/>
            </m:rPr>
            <m:t>Δ</m:t>
          </m:r>
          <m:sSub>
            <m:e>
              <m:r>
                <m:t>φ</m:t>
              </m:r>
            </m:e>
            <m:sub>
              <m:r>
                <m:rPr>
                  <m:nor/>
                  <m:sty m:val="p"/>
                </m:rPr>
                <m:t>Topo</m:t>
              </m:r>
              <m:r>
                <m:rPr>
                  <m:sty m:val="p"/>
                </m:rPr>
                <m:t>_</m:t>
              </m:r>
              <m:r>
                <m:t>1</m:t>
              </m:r>
              <m:r>
                <m:rPr>
                  <m:sty m:val="p"/>
                </m:rPr>
                <m:t>−</m:t>
              </m:r>
              <m:r>
                <m:t>2</m:t>
              </m:r>
            </m:sub>
          </m:sSub>
          <m:r>
            <m:t>  </m:t>
          </m:r>
          <m:r>
            <m:rPr>
              <m:sty m:val="p"/>
            </m:rPr>
            <m:t>(</m:t>
          </m:r>
          <m:r>
            <m:t>10</m:t>
          </m:r>
          <m:r>
            <m:rPr>
              <m:sty m:val="p"/>
            </m:rPr>
            <m:t>)</m:t>
          </m:r>
        </m:oMath>
      </m:oMathPara>
      <w:bookmarkEnd w:id="294"/>
    </w:p>
    <w:p>
      <w:pPr>
        <w:pStyle w:val="FirstParagraph"/>
      </w:pPr>
      <w:r>
        <w:t xml:space="preserve">Consequently, the differential phase of two CEOS-ARD products doesn’t contain a topographic phase and is already unwrapped (at least over stable areas). It is only function of the surface displacement and of the noise term. Depending on the reference DEM and the satellite orbital state vector accuracies, some residual topographic phase could be present. Atmospheric (item 2.15) and ionospheric (item 2.16) phase corrections could be performed during the production of CEOS-ARD products, which reduces the differential phase noise in an InSAR analysis.</w:t>
      </w:r>
    </w:p>
    <w:p>
      <w:pPr>
        <w:pStyle w:val="Textkrper"/>
      </w:pPr>
      <w:bookmarkStart w:id="295" w:name="eq:sar-topographic-phase-removal-eq11"/>
      <m:oMathPara>
        <m:oMathParaPr>
          <m:jc m:val="center"/>
        </m:oMathParaPr>
        <m:oMath>
          <m:r>
            <m:rPr>
              <m:sty m:val="p"/>
            </m:rPr>
            <m:t>Δ</m:t>
          </m:r>
          <m:sSub>
            <m:e>
              <m:r>
                <m:t>φ</m:t>
              </m:r>
            </m:e>
            <m:sub>
              <m:r>
                <m:rPr>
                  <m:nor/>
                  <m:sty m:val="p"/>
                </m:rPr>
                <m:t>CARD</m:t>
              </m:r>
              <m:r>
                <m:rPr>
                  <m:sty m:val="p"/>
                </m:rPr>
                <m:t>_</m:t>
              </m:r>
              <m:r>
                <m:t>1</m:t>
              </m:r>
              <m:r>
                <m:rPr>
                  <m:sty m:val="p"/>
                </m:rPr>
                <m:t>−</m:t>
              </m:r>
              <m:r>
                <m:rPr>
                  <m:nor/>
                  <m:sty m:val="p"/>
                </m:rPr>
                <m:t>CARD</m:t>
              </m:r>
              <m:r>
                <m:rPr>
                  <m:sty m:val="p"/>
                </m:rPr>
                <m:t>_</m:t>
              </m:r>
              <m:r>
                <m:t>2</m:t>
              </m:r>
            </m:sub>
          </m:sSub>
          <m:r>
            <m:rPr>
              <m:sty m:val="p"/>
            </m:rPr>
            <m:t>=</m:t>
          </m:r>
          <m:r>
            <m:rPr>
              <m:sty m:val="p"/>
            </m:rPr>
            <m:t>Δ</m:t>
          </m:r>
          <m:sSub>
            <m:e>
              <m:r>
                <m:t>φ</m:t>
              </m:r>
            </m:e>
            <m:sub>
              <m:r>
                <m:rPr>
                  <m:nor/>
                  <m:sty m:val="p"/>
                </m:rPr>
                <m:t>Disp</m:t>
              </m:r>
              <m:r>
                <m:rPr>
                  <m:sty m:val="p"/>
                </m:rPr>
                <m:t>_</m:t>
              </m:r>
              <m:r>
                <m:t>1</m:t>
              </m:r>
              <m:r>
                <m:rPr>
                  <m:sty m:val="p"/>
                </m:rPr>
                <m:t>−</m:t>
              </m:r>
              <m:r>
                <m:t>2</m:t>
              </m:r>
            </m:sub>
          </m:sSub>
          <m:r>
            <m:rPr>
              <m:sty m:val="p"/>
            </m:rPr>
            <m:t>+</m:t>
          </m:r>
          <m:r>
            <m:rPr>
              <m:sty m:val="p"/>
            </m:rPr>
            <m:t>Δ</m:t>
          </m:r>
          <m:sSub>
            <m:e>
              <m:r>
                <m:t>φ</m:t>
              </m:r>
            </m:e>
            <m:sub>
              <m:r>
                <m:rPr>
                  <m:nor/>
                  <m:sty m:val="p"/>
                </m:rPr>
                <m:t>Noise</m:t>
              </m:r>
              <m:r>
                <m:rPr>
                  <m:sty m:val="p"/>
                </m:rPr>
                <m:t>_</m:t>
              </m:r>
              <m:r>
                <m:t>1</m:t>
              </m:r>
              <m:r>
                <m:rPr>
                  <m:sty m:val="p"/>
                </m:rPr>
                <m:t>−</m:t>
              </m:r>
              <m:r>
                <m:t>2</m:t>
              </m:r>
            </m:sub>
          </m:sSub>
          <m:r>
            <m:rPr>
              <m:sty m:val="p"/>
            </m:rPr>
            <m:t>)</m:t>
          </m:r>
          <m:r>
            <m:t>  </m:t>
          </m:r>
          <m:r>
            <m:rPr>
              <m:sty m:val="p"/>
            </m:rPr>
            <m:t>(</m:t>
          </m:r>
          <m:r>
            <m:t>11</m:t>
          </m:r>
          <m:r>
            <m:rPr>
              <m:sty m:val="p"/>
            </m:rPr>
            <m:t>)</m:t>
          </m:r>
        </m:oMath>
      </m:oMathPara>
      <w:bookmarkEnd w:id="295"/>
    </w:p>
    <w:bookmarkEnd w:id="296"/>
    <w:bookmarkStart w:id="303" w:name="sec:annex-sar-pol-covmat"/>
    <w:p>
      <w:pPr>
        <w:pStyle w:val="berschrift3"/>
      </w:pPr>
      <w:r>
        <w:t xml:space="preserve">Normalised Covariance Matrices (CovMat)</w:t>
      </w:r>
    </w:p>
    <w:p>
      <w:pPr>
        <w:pStyle w:val="FirstParagraph"/>
      </w:pPr>
      <w:r>
        <w:t xml:space="preserve">In order to preserve the inter-channel polarimetric phase and thus the full information content of coherent dual-pol and fully polarimetric data, the covariance matrix is proposed as the data storage format. Covariance matrices are generated from the complex cross product of polarimetric channels, as shown in Eq. </w:t>
      </w:r>
      <w:hyperlink w:anchor="eq:sar-pol-covmat-eq1">
        <w:r>
          <w:rPr>
            <w:rStyle w:val="Hyperlink"/>
          </w:rPr>
          <w:t xml:space="preserve">12</w:t>
        </w:r>
      </w:hyperlink>
      <w:r>
        <w:t xml:space="preserve"> </w:t>
      </w:r>
      <w:r>
        <w:t xml:space="preserve">for fully polarimetric data (C3) and in Eq. </w:t>
      </w:r>
      <w:hyperlink w:anchor="eq:sar-pol-covmat-eq3">
        <w:r>
          <w:rPr>
            <w:rStyle w:val="Hyperlink"/>
          </w:rPr>
          <w:t xml:space="preserve">14</w:t>
        </w:r>
      </w:hyperlink>
      <w:r>
        <w:t xml:space="preserve"> </w:t>
      </w:r>
      <w:r>
        <w:t xml:space="preserve">for dual polarization data (C2). Since these matrices are complex symmetrical, only the upper diagonal elements (bold elements) need to be stored in the ARD database.</w:t>
      </w:r>
    </w:p>
    <w:p>
      <w:pPr>
        <w:pStyle w:val="Textkrper"/>
      </w:pPr>
      <w:r>
        <w:rPr>
          <w:b/>
          <w:bCs/>
        </w:rPr>
        <w:t xml:space="preserve">Fully polarimetric</w:t>
      </w:r>
    </w:p>
    <w:p>
      <w:pPr>
        <w:pStyle w:val="Textkrper"/>
      </w:pPr>
      <w:bookmarkStart w:id="297" w:name="eq:sar-pol-covmat-eq1"/>
      <m:oMathPara>
        <m:oMathParaPr>
          <m:jc m:val="center"/>
        </m:oMathParaPr>
        <m:oMath>
          <m:r>
            <m:t>C</m:t>
          </m:r>
          <m:r>
            <m:t>3</m:t>
          </m:r>
          <m:r>
            <m:rPr>
              <m:sty m:val="p"/>
            </m:rPr>
            <m:t>=</m:t>
          </m:r>
          <m:d>
            <m:dPr>
              <m:begChr m:val="["/>
              <m:sepChr m:val=""/>
              <m:endChr m:val="]"/>
              <m:grow/>
            </m:dPr>
            <m:e>
              <m:m>
                <m:mPr>
                  <m:baseJc m:val="center"/>
                  <m:plcHide m:val="on"/>
                  <m:mcs>
                    <m:mc>
                      <m:mcPr>
                        <m:mcJc m:val="center"/>
                        <m:count m:val="1"/>
                      </m:mcPr>
                    </m:mc>
                    <m:mc>
                      <m:mcPr>
                        <m:mcJc m:val="center"/>
                        <m:count m:val="1"/>
                      </m:mcPr>
                    </m:mc>
                    <m:mc>
                      <m:mcPr>
                        <m:mcJc m:val="center"/>
                        <m:count m:val="1"/>
                      </m:mcPr>
                    </m:mc>
                  </m:mcs>
                </m:mPr>
                <m:mr>
                  <m:e>
                    <m:r>
                      <m:rPr>
                        <m:sty m:val="p"/>
                      </m:rPr>
                      <m:t>|</m:t>
                    </m:r>
                    <m:r>
                      <m:rPr>
                        <m:sty m:val="b"/>
                      </m:rPr>
                      <m:t>H</m:t>
                    </m:r>
                    <m:r>
                      <m:rPr>
                        <m:sty m:val="b"/>
                      </m:rPr>
                      <m:t>H</m:t>
                    </m:r>
                    <m:sSup>
                      <m:e>
                        <m:r>
                          <m:rPr>
                            <m:sty m:val="p"/>
                          </m:rPr>
                          <m:t>|</m:t>
                        </m:r>
                      </m:e>
                      <m:sup>
                        <m:r>
                          <m:t>2</m:t>
                        </m:r>
                      </m:sup>
                    </m:sSup>
                  </m:e>
                  <m:e>
                    <m:rad>
                      <m:radPr>
                        <m:degHide m:val="on"/>
                      </m:radPr>
                      <m:deg/>
                      <m:e>
                        <m:r>
                          <m:t>2</m:t>
                        </m:r>
                      </m:e>
                    </m:rad>
                    <m:r>
                      <m:rPr>
                        <m:sty m:val="p"/>
                      </m:rPr>
                      <m:t>⋅</m:t>
                    </m:r>
                    <m:r>
                      <m:rPr>
                        <m:sty m:val="b"/>
                      </m:rPr>
                      <m:t>H</m:t>
                    </m:r>
                    <m:r>
                      <m:rPr>
                        <m:sty m:val="b"/>
                      </m:rPr>
                      <m:t>H</m:t>
                    </m:r>
                    <m:r>
                      <m:rPr>
                        <m:sty m:val="p"/>
                      </m:rPr>
                      <m:t>⋅</m:t>
                    </m:r>
                    <m:r>
                      <m:rPr>
                        <m:sty m:val="b"/>
                      </m:rPr>
                      <m:t>H</m:t>
                    </m:r>
                    <m:sSup>
                      <m:e>
                        <m:r>
                          <m:rPr>
                            <m:sty m:val="b"/>
                          </m:rPr>
                          <m:t>V</m:t>
                        </m:r>
                      </m:e>
                      <m:sup>
                        <m:r>
                          <m:rPr>
                            <m:sty m:val="p"/>
                          </m:rPr>
                          <m:t>*</m:t>
                        </m:r>
                      </m:sup>
                    </m:sSup>
                  </m:e>
                  <m:e>
                    <m:r>
                      <m:rPr>
                        <m:sty m:val="b"/>
                      </m:rPr>
                      <m:t>H</m:t>
                    </m:r>
                    <m:r>
                      <m:rPr>
                        <m:sty m:val="b"/>
                      </m:rPr>
                      <m:t>H</m:t>
                    </m:r>
                    <m:r>
                      <m:rPr>
                        <m:sty m:val="p"/>
                      </m:rPr>
                      <m:t>⋅</m:t>
                    </m:r>
                    <m:r>
                      <m:rPr>
                        <m:sty m:val="b"/>
                      </m:rPr>
                      <m:t>V</m:t>
                    </m:r>
                    <m:sSup>
                      <m:e>
                        <m:r>
                          <m:rPr>
                            <m:sty m:val="b"/>
                          </m:rPr>
                          <m:t>V</m:t>
                        </m:r>
                      </m:e>
                      <m:sup>
                        <m:r>
                          <m:rPr>
                            <m:sty m:val="p"/>
                          </m:rPr>
                          <m:t>*</m:t>
                        </m:r>
                      </m:sup>
                    </m:sSup>
                  </m:e>
                </m:mr>
                <m:mr>
                  <m:e>
                    <m:rad>
                      <m:radPr>
                        <m:degHide m:val="on"/>
                      </m:radPr>
                      <m:deg/>
                      <m:e>
                        <m:r>
                          <m:t>2</m:t>
                        </m:r>
                      </m:e>
                    </m:rad>
                    <m:r>
                      <m:rPr>
                        <m:sty m:val="p"/>
                      </m:rPr>
                      <m:t>⋅</m:t>
                    </m:r>
                    <m:r>
                      <m:t>H</m:t>
                    </m:r>
                    <m:r>
                      <m:t>V</m:t>
                    </m:r>
                    <m:r>
                      <m:rPr>
                        <m:sty m:val="p"/>
                      </m:rPr>
                      <m:t>⋅</m:t>
                    </m:r>
                    <m:r>
                      <m:t>H</m:t>
                    </m:r>
                    <m:sSup>
                      <m:e>
                        <m:r>
                          <m:t>H</m:t>
                        </m:r>
                      </m:e>
                      <m:sup>
                        <m:r>
                          <m:rPr>
                            <m:sty m:val="p"/>
                          </m:rPr>
                          <m:t>*</m:t>
                        </m:r>
                      </m:sup>
                    </m:sSup>
                  </m:e>
                  <m:e>
                    <m:r>
                      <m:t>2</m:t>
                    </m:r>
                    <m:r>
                      <m:rPr>
                        <m:sty m:val="p"/>
                      </m:rPr>
                      <m:t>⋅</m:t>
                    </m:r>
                    <m:r>
                      <m:rPr>
                        <m:sty m:val="p"/>
                      </m:rPr>
                      <m:t>|</m:t>
                    </m:r>
                    <m:r>
                      <m:rPr>
                        <m:sty m:val="b"/>
                      </m:rPr>
                      <m:t>H</m:t>
                    </m:r>
                    <m:r>
                      <m:rPr>
                        <m:sty m:val="b"/>
                      </m:rPr>
                      <m:t>V</m:t>
                    </m:r>
                    <m:sSup>
                      <m:e>
                        <m:r>
                          <m:rPr>
                            <m:sty m:val="p"/>
                          </m:rPr>
                          <m:t>|</m:t>
                        </m:r>
                      </m:e>
                      <m:sup>
                        <m:r>
                          <m:t>2</m:t>
                        </m:r>
                      </m:sup>
                    </m:sSup>
                  </m:e>
                  <m:e>
                    <m:rad>
                      <m:radPr>
                        <m:degHide m:val="on"/>
                      </m:radPr>
                      <m:deg/>
                      <m:e>
                        <m:r>
                          <m:t>2</m:t>
                        </m:r>
                      </m:e>
                    </m:rad>
                    <m:r>
                      <m:rPr>
                        <m:sty m:val="p"/>
                      </m:rPr>
                      <m:t>⋅</m:t>
                    </m:r>
                    <m:r>
                      <m:rPr>
                        <m:sty m:val="b"/>
                      </m:rPr>
                      <m:t>H</m:t>
                    </m:r>
                    <m:r>
                      <m:rPr>
                        <m:sty m:val="b"/>
                      </m:rPr>
                      <m:t>V</m:t>
                    </m:r>
                    <m:r>
                      <m:rPr>
                        <m:sty m:val="p"/>
                      </m:rPr>
                      <m:t>⋅</m:t>
                    </m:r>
                    <m:r>
                      <m:rPr>
                        <m:sty m:val="b"/>
                      </m:rPr>
                      <m:t>H</m:t>
                    </m:r>
                    <m:sSup>
                      <m:e>
                        <m:r>
                          <m:rPr>
                            <m:sty m:val="b"/>
                          </m:rPr>
                          <m:t>V</m:t>
                        </m:r>
                      </m:e>
                      <m:sup>
                        <m:r>
                          <m:rPr>
                            <m:sty m:val="p"/>
                          </m:rPr>
                          <m:t>*</m:t>
                        </m:r>
                      </m:sup>
                    </m:sSup>
                  </m:e>
                </m:mr>
                <m:mr>
                  <m:e>
                    <m:r>
                      <m:t>V</m:t>
                    </m:r>
                    <m:r>
                      <m:t>V</m:t>
                    </m:r>
                    <m:r>
                      <m:rPr>
                        <m:sty m:val="p"/>
                      </m:rPr>
                      <m:t>⋅</m:t>
                    </m:r>
                    <m:r>
                      <m:t>H</m:t>
                    </m:r>
                    <m:sSup>
                      <m:e>
                        <m:r>
                          <m:t>H</m:t>
                        </m:r>
                      </m:e>
                      <m:sup>
                        <m:r>
                          <m:rPr>
                            <m:sty m:val="p"/>
                          </m:rPr>
                          <m:t>*</m:t>
                        </m:r>
                      </m:sup>
                    </m:sSup>
                  </m:e>
                  <m:e>
                    <m:rad>
                      <m:radPr>
                        <m:degHide m:val="on"/>
                      </m:radPr>
                      <m:deg/>
                      <m:e>
                        <m:r>
                          <m:t>2</m:t>
                        </m:r>
                      </m:e>
                    </m:rad>
                    <m:r>
                      <m:rPr>
                        <m:sty m:val="p"/>
                      </m:rPr>
                      <m:t>⋅</m:t>
                    </m:r>
                    <m:r>
                      <m:t>V</m:t>
                    </m:r>
                    <m:r>
                      <m:t>V</m:t>
                    </m:r>
                    <m:r>
                      <m:rPr>
                        <m:sty m:val="p"/>
                      </m:rPr>
                      <m:t>⋅</m:t>
                    </m:r>
                    <m:r>
                      <m:t>H</m:t>
                    </m:r>
                    <m:sSup>
                      <m:e>
                        <m:r>
                          <m:t>V</m:t>
                        </m:r>
                      </m:e>
                      <m:sup>
                        <m:r>
                          <m:rPr>
                            <m:sty m:val="p"/>
                          </m:rPr>
                          <m:t>*</m:t>
                        </m:r>
                      </m:sup>
                    </m:sSup>
                  </m:e>
                  <m:e>
                    <m:r>
                      <m:rPr>
                        <m:sty m:val="p"/>
                      </m:rPr>
                      <m:t>|</m:t>
                    </m:r>
                    <m:r>
                      <m:rPr>
                        <m:sty m:val="b"/>
                      </m:rPr>
                      <m:t>V</m:t>
                    </m:r>
                    <m:r>
                      <m:rPr>
                        <m:sty m:val="b"/>
                      </m:rPr>
                      <m:t>V</m:t>
                    </m:r>
                    <m:sSup>
                      <m:e>
                        <m:r>
                          <m:rPr>
                            <m:sty m:val="p"/>
                          </m:rPr>
                          <m:t>|</m:t>
                        </m:r>
                      </m:e>
                      <m:sup>
                        <m:r>
                          <m:t>2</m:t>
                        </m:r>
                      </m:sup>
                    </m:sSup>
                  </m:e>
                </m:mr>
              </m:m>
            </m:e>
          </m:d>
          <m:r>
            <m:t>  </m:t>
          </m:r>
          <m:r>
            <m:rPr>
              <m:sty m:val="p"/>
            </m:rPr>
            <m:t>(</m:t>
          </m:r>
          <m:r>
            <m:t>12</m:t>
          </m:r>
          <m:r>
            <m:rPr>
              <m:sty m:val="p"/>
            </m:rPr>
            <m:t>)</m:t>
          </m:r>
        </m:oMath>
      </m:oMathPara>
      <w:bookmarkEnd w:id="297"/>
    </w:p>
    <w:p>
      <w:pPr>
        <w:pStyle w:val="FirstParagraph"/>
      </w:pPr>
      <w:r>
        <w:t xml:space="preserve">Where HV = VH, under the reciprocity assumption. | | and * mean respectively complex modulus and the complex conjugate.</w:t>
      </w:r>
    </w:p>
    <w:p>
      <w:pPr>
        <w:pStyle w:val="Textkrper"/>
      </w:pPr>
      <w:r>
        <w:rPr>
          <w:b/>
          <w:bCs/>
        </w:rPr>
        <w:t xml:space="preserve">Dual polarization</w:t>
      </w:r>
    </w:p>
    <w:p>
      <w:pPr>
        <w:pStyle w:val="Textkrper"/>
      </w:pPr>
      <w:bookmarkStart w:id="298" w:name="eq:sar-pol-covmat-eq2"/>
      <m:oMathPara>
        <m:oMathParaPr>
          <m:jc m:val="center"/>
        </m:oMathParaPr>
        <m:oMath>
          <m:r>
            <m:rPr>
              <m:nor/>
              <m:sty m:val="p"/>
            </m:rPr>
            <m:t>HH-HV:</m:t>
          </m:r>
          <m:r>
            <m:t> </m:t>
          </m:r>
          <m:r>
            <m:t>C</m:t>
          </m:r>
          <m:r>
            <m:t>2</m:t>
          </m:r>
          <m:r>
            <m:rPr>
              <m:sty m:val="p"/>
            </m:rPr>
            <m:t>=</m:t>
          </m:r>
          <m:d>
            <m:dPr>
              <m:begChr m:val="["/>
              <m:sepChr m:val=""/>
              <m:endChr m:val="]"/>
              <m:grow/>
            </m:dPr>
            <m:e>
              <m:m>
                <m:mPr>
                  <m:baseJc m:val="center"/>
                  <m:plcHide m:val="on"/>
                  <m:mcs>
                    <m:mc>
                      <m:mcPr>
                        <m:mcJc m:val="center"/>
                        <m:count m:val="1"/>
                      </m:mcPr>
                    </m:mc>
                    <m:mc>
                      <m:mcPr>
                        <m:mcJc m:val="center"/>
                        <m:count m:val="1"/>
                      </m:mcPr>
                    </m:mc>
                  </m:mcs>
                </m:mPr>
                <m:mr>
                  <m:e>
                    <m:r>
                      <m:rPr>
                        <m:sty m:val="p"/>
                      </m:rPr>
                      <m:t>|</m:t>
                    </m:r>
                    <m:r>
                      <m:rPr>
                        <m:sty m:val="b"/>
                      </m:rPr>
                      <m:t>H</m:t>
                    </m:r>
                    <m:r>
                      <m:rPr>
                        <m:sty m:val="b"/>
                      </m:rPr>
                      <m:t>H</m:t>
                    </m:r>
                    <m:sSup>
                      <m:e>
                        <m:r>
                          <m:rPr>
                            <m:sty m:val="p"/>
                          </m:rPr>
                          <m:t>|</m:t>
                        </m:r>
                      </m:e>
                      <m:sup>
                        <m:r>
                          <m:t>2</m:t>
                        </m:r>
                      </m:sup>
                    </m:sSup>
                  </m:e>
                  <m:e>
                    <m:r>
                      <m:rPr>
                        <m:sty m:val="b"/>
                      </m:rPr>
                      <m:t>H</m:t>
                    </m:r>
                    <m:r>
                      <m:rPr>
                        <m:sty m:val="b"/>
                      </m:rPr>
                      <m:t>H</m:t>
                    </m:r>
                    <m:r>
                      <m:rPr>
                        <m:sty m:val="p"/>
                      </m:rPr>
                      <m:t>⋅</m:t>
                    </m:r>
                    <m:r>
                      <m:rPr>
                        <m:sty m:val="b"/>
                      </m:rPr>
                      <m:t>H</m:t>
                    </m:r>
                    <m:sSup>
                      <m:e>
                        <m:r>
                          <m:rPr>
                            <m:sty m:val="b"/>
                          </m:rPr>
                          <m:t>V</m:t>
                        </m:r>
                      </m:e>
                      <m:sup>
                        <m:r>
                          <m:rPr>
                            <m:sty m:val="p"/>
                          </m:rPr>
                          <m:t>*</m:t>
                        </m:r>
                      </m:sup>
                    </m:sSup>
                  </m:e>
                </m:mr>
                <m:mr>
                  <m:e>
                    <m:r>
                      <m:t>H</m:t>
                    </m:r>
                    <m:r>
                      <m:t>V</m:t>
                    </m:r>
                    <m:r>
                      <m:rPr>
                        <m:sty m:val="p"/>
                      </m:rPr>
                      <m:t>⋅</m:t>
                    </m:r>
                    <m:r>
                      <m:t>H</m:t>
                    </m:r>
                    <m:sSup>
                      <m:e>
                        <m:r>
                          <m:t>H</m:t>
                        </m:r>
                      </m:e>
                      <m:sup>
                        <m:r>
                          <m:rPr>
                            <m:sty m:val="p"/>
                          </m:rPr>
                          <m:t>*</m:t>
                        </m:r>
                      </m:sup>
                    </m:sSup>
                  </m:e>
                  <m:e>
                    <m:r>
                      <m:rPr>
                        <m:sty m:val="p"/>
                      </m:rPr>
                      <m:t>|</m:t>
                    </m:r>
                    <m:r>
                      <m:rPr>
                        <m:sty m:val="b"/>
                      </m:rPr>
                      <m:t>H</m:t>
                    </m:r>
                    <m:r>
                      <m:rPr>
                        <m:sty m:val="b"/>
                      </m:rPr>
                      <m:t>V</m:t>
                    </m:r>
                    <m:sSup>
                      <m:e>
                        <m:r>
                          <m:rPr>
                            <m:sty m:val="p"/>
                          </m:rPr>
                          <m:t>|</m:t>
                        </m:r>
                      </m:e>
                      <m:sup>
                        <m:r>
                          <m:t>2</m:t>
                        </m:r>
                      </m:sup>
                    </m:sSup>
                  </m:e>
                </m:mr>
              </m:m>
            </m:e>
          </m:d>
          <m:r>
            <m:t>  </m:t>
          </m:r>
          <m:r>
            <m:rPr>
              <m:sty m:val="p"/>
            </m:rPr>
            <m:t>(</m:t>
          </m:r>
          <m:r>
            <m:t>13</m:t>
          </m:r>
          <m:r>
            <m:rPr>
              <m:sty m:val="p"/>
            </m:rPr>
            <m:t>)</m:t>
          </m:r>
        </m:oMath>
      </m:oMathPara>
      <w:bookmarkEnd w:id="298"/>
    </w:p>
    <w:p>
      <w:pPr>
        <w:pStyle w:val="FirstParagraph"/>
      </w:pPr>
      <w:bookmarkStart w:id="299" w:name="eq:sar-pol-covmat-eq3"/>
      <m:oMathPara>
        <m:oMathParaPr>
          <m:jc m:val="center"/>
        </m:oMathParaPr>
        <m:oMath>
          <m:r>
            <m:rPr>
              <m:nor/>
              <m:sty m:val="p"/>
            </m:rPr>
            <m:t>VV-VH:</m:t>
          </m:r>
          <m:r>
            <m:t> </m:t>
          </m:r>
          <m:r>
            <m:t>C</m:t>
          </m:r>
          <m:r>
            <m:t>2</m:t>
          </m:r>
          <m:r>
            <m:rPr>
              <m:sty m:val="p"/>
            </m:rPr>
            <m:t>=</m:t>
          </m:r>
          <m:d>
            <m:dPr>
              <m:begChr m:val="["/>
              <m:sepChr m:val=""/>
              <m:endChr m:val="]"/>
              <m:grow/>
            </m:dPr>
            <m:e>
              <m:m>
                <m:mPr>
                  <m:baseJc m:val="center"/>
                  <m:plcHide m:val="on"/>
                  <m:mcs>
                    <m:mc>
                      <m:mcPr>
                        <m:mcJc m:val="center"/>
                        <m:count m:val="1"/>
                      </m:mcPr>
                    </m:mc>
                    <m:mc>
                      <m:mcPr>
                        <m:mcJc m:val="center"/>
                        <m:count m:val="1"/>
                      </m:mcPr>
                    </m:mc>
                  </m:mcs>
                </m:mPr>
                <m:mr>
                  <m:e>
                    <m:r>
                      <m:rPr>
                        <m:sty m:val="p"/>
                      </m:rPr>
                      <m:t>|</m:t>
                    </m:r>
                    <m:r>
                      <m:rPr>
                        <m:sty m:val="b"/>
                      </m:rPr>
                      <m:t>V</m:t>
                    </m:r>
                    <m:r>
                      <m:rPr>
                        <m:sty m:val="b"/>
                      </m:rPr>
                      <m:t>H</m:t>
                    </m:r>
                    <m:sSup>
                      <m:e>
                        <m:r>
                          <m:rPr>
                            <m:sty m:val="p"/>
                          </m:rPr>
                          <m:t>|</m:t>
                        </m:r>
                      </m:e>
                      <m:sup>
                        <m:r>
                          <m:t>2</m:t>
                        </m:r>
                      </m:sup>
                    </m:sSup>
                  </m:e>
                  <m:e>
                    <m:r>
                      <m:rPr>
                        <m:sty m:val="b"/>
                      </m:rPr>
                      <m:t>V</m:t>
                    </m:r>
                    <m:r>
                      <m:rPr>
                        <m:sty m:val="b"/>
                      </m:rPr>
                      <m:t>H</m:t>
                    </m:r>
                    <m:r>
                      <m:rPr>
                        <m:sty m:val="p"/>
                      </m:rPr>
                      <m:t>⋅</m:t>
                    </m:r>
                    <m:r>
                      <m:rPr>
                        <m:sty m:val="b"/>
                      </m:rPr>
                      <m:t>V</m:t>
                    </m:r>
                    <m:sSup>
                      <m:e>
                        <m:r>
                          <m:rPr>
                            <m:sty m:val="b"/>
                          </m:rPr>
                          <m:t>H</m:t>
                        </m:r>
                      </m:e>
                      <m:sup>
                        <m:r>
                          <m:rPr>
                            <m:sty m:val="p"/>
                          </m:rPr>
                          <m:t>*</m:t>
                        </m:r>
                      </m:sup>
                    </m:sSup>
                  </m:e>
                </m:mr>
                <m:mr>
                  <m:e>
                    <m:r>
                      <m:t>V</m:t>
                    </m:r>
                    <m:r>
                      <m:t>H</m:t>
                    </m:r>
                    <m:r>
                      <m:rPr>
                        <m:sty m:val="p"/>
                      </m:rPr>
                      <m:t>⋅</m:t>
                    </m:r>
                    <m:r>
                      <m:t>V</m:t>
                    </m:r>
                    <m:sSup>
                      <m:e>
                        <m:r>
                          <m:t>H</m:t>
                        </m:r>
                      </m:e>
                      <m:sup>
                        <m:r>
                          <m:rPr>
                            <m:sty m:val="p"/>
                          </m:rPr>
                          <m:t>*</m:t>
                        </m:r>
                      </m:sup>
                    </m:sSup>
                  </m:e>
                  <m:e>
                    <m:r>
                      <m:rPr>
                        <m:sty m:val="p"/>
                      </m:rPr>
                      <m:t>|</m:t>
                    </m:r>
                    <m:r>
                      <m:rPr>
                        <m:sty m:val="b"/>
                      </m:rPr>
                      <m:t>V</m:t>
                    </m:r>
                    <m:r>
                      <m:rPr>
                        <m:sty m:val="b"/>
                      </m:rPr>
                      <m:t>V</m:t>
                    </m:r>
                    <m:sSup>
                      <m:e>
                        <m:r>
                          <m:rPr>
                            <m:sty m:val="p"/>
                          </m:rPr>
                          <m:t>|</m:t>
                        </m:r>
                      </m:e>
                      <m:sup>
                        <m:r>
                          <m:t>2</m:t>
                        </m:r>
                      </m:sup>
                    </m:sSup>
                  </m:e>
                </m:mr>
              </m:m>
            </m:e>
          </m:d>
          <m:r>
            <m:t>  </m:t>
          </m:r>
          <m:r>
            <m:rPr>
              <m:sty m:val="p"/>
            </m:rPr>
            <m:t>(</m:t>
          </m:r>
          <m:r>
            <m:t>14</m:t>
          </m:r>
          <m:r>
            <m:rPr>
              <m:sty m:val="p"/>
            </m:rPr>
            <m:t>)</m:t>
          </m:r>
        </m:oMath>
      </m:oMathPara>
      <w:bookmarkEnd w:id="299"/>
    </w:p>
    <w:p>
      <w:pPr>
        <w:pStyle w:val="FirstParagraph"/>
      </w:pPr>
      <w:bookmarkStart w:id="300" w:name="eq:eq:sar-pol-covmat-eq4"/>
      <m:oMathPara>
        <m:oMathParaPr>
          <m:jc m:val="center"/>
        </m:oMathParaPr>
        <m:oMath>
          <m:r>
            <m:rPr>
              <m:nor/>
              <m:sty m:val="p"/>
            </m:rPr>
            <m:t>CH-CV:</m:t>
          </m:r>
          <m:r>
            <m:t> </m:t>
          </m:r>
          <m:r>
            <m:t>C</m:t>
          </m:r>
          <m:r>
            <m:t>2</m:t>
          </m:r>
          <m:r>
            <m:rPr>
              <m:sty m:val="p"/>
            </m:rPr>
            <m:t>=</m:t>
          </m:r>
          <m:d>
            <m:dPr>
              <m:begChr m:val="["/>
              <m:sepChr m:val=""/>
              <m:endChr m:val="]"/>
              <m:grow/>
            </m:dPr>
            <m:e>
              <m:m>
                <m:mPr>
                  <m:baseJc m:val="center"/>
                  <m:plcHide m:val="on"/>
                  <m:mcs>
                    <m:mc>
                      <m:mcPr>
                        <m:mcJc m:val="center"/>
                        <m:count m:val="1"/>
                      </m:mcPr>
                    </m:mc>
                    <m:mc>
                      <m:mcPr>
                        <m:mcJc m:val="center"/>
                        <m:count m:val="1"/>
                      </m:mcPr>
                    </m:mc>
                  </m:mcs>
                </m:mPr>
                <m:mr>
                  <m:e>
                    <m:r>
                      <m:rPr>
                        <m:sty m:val="p"/>
                      </m:rPr>
                      <m:t>|</m:t>
                    </m:r>
                    <m:r>
                      <m:rPr>
                        <m:sty m:val="b"/>
                      </m:rPr>
                      <m:t>C</m:t>
                    </m:r>
                    <m:r>
                      <m:rPr>
                        <m:sty m:val="b"/>
                      </m:rPr>
                      <m:t>H</m:t>
                    </m:r>
                    <m:sSup>
                      <m:e>
                        <m:r>
                          <m:rPr>
                            <m:sty m:val="p"/>
                          </m:rPr>
                          <m:t>|</m:t>
                        </m:r>
                      </m:e>
                      <m:sup>
                        <m:r>
                          <m:t>2</m:t>
                        </m:r>
                      </m:sup>
                    </m:sSup>
                  </m:e>
                  <m:e>
                    <m:r>
                      <m:rPr>
                        <m:sty m:val="b"/>
                      </m:rPr>
                      <m:t>C</m:t>
                    </m:r>
                    <m:r>
                      <m:rPr>
                        <m:sty m:val="b"/>
                      </m:rPr>
                      <m:t>H</m:t>
                    </m:r>
                    <m:r>
                      <m:rPr>
                        <m:sty m:val="p"/>
                      </m:rPr>
                      <m:t>⋅</m:t>
                    </m:r>
                    <m:r>
                      <m:rPr>
                        <m:sty m:val="b"/>
                      </m:rPr>
                      <m:t>C</m:t>
                    </m:r>
                    <m:sSup>
                      <m:e>
                        <m:r>
                          <m:rPr>
                            <m:sty m:val="b"/>
                          </m:rPr>
                          <m:t>V</m:t>
                        </m:r>
                      </m:e>
                      <m:sup>
                        <m:r>
                          <m:rPr>
                            <m:sty m:val="p"/>
                          </m:rPr>
                          <m:t>*</m:t>
                        </m:r>
                      </m:sup>
                    </m:sSup>
                  </m:e>
                </m:mr>
                <m:mr>
                  <m:e>
                    <m:r>
                      <m:t>C</m:t>
                    </m:r>
                    <m:r>
                      <m:t>V</m:t>
                    </m:r>
                    <m:r>
                      <m:rPr>
                        <m:sty m:val="p"/>
                      </m:rPr>
                      <m:t>⋅</m:t>
                    </m:r>
                    <m:r>
                      <m:t>C</m:t>
                    </m:r>
                    <m:sSup>
                      <m:e>
                        <m:r>
                          <m:t>H</m:t>
                        </m:r>
                      </m:e>
                      <m:sup>
                        <m:r>
                          <m:rPr>
                            <m:sty m:val="p"/>
                          </m:rPr>
                          <m:t>*</m:t>
                        </m:r>
                      </m:sup>
                    </m:sSup>
                  </m:e>
                  <m:e>
                    <m:r>
                      <m:rPr>
                        <m:sty m:val="p"/>
                      </m:rPr>
                      <m:t>|</m:t>
                    </m:r>
                    <m:r>
                      <m:rPr>
                        <m:sty m:val="b"/>
                      </m:rPr>
                      <m:t>C</m:t>
                    </m:r>
                    <m:r>
                      <m:rPr>
                        <m:sty m:val="b"/>
                      </m:rPr>
                      <m:t>V</m:t>
                    </m:r>
                    <m:sSup>
                      <m:e>
                        <m:r>
                          <m:rPr>
                            <m:sty m:val="p"/>
                          </m:rPr>
                          <m:t>|</m:t>
                        </m:r>
                      </m:e>
                      <m:sup>
                        <m:r>
                          <m:t>2</m:t>
                        </m:r>
                      </m:sup>
                    </m:sSup>
                  </m:e>
                </m:mr>
              </m:m>
            </m:e>
          </m:d>
          <m:r>
            <m:t>  </m:t>
          </m:r>
          <m:r>
            <m:rPr>
              <m:sty m:val="p"/>
            </m:rPr>
            <m:t>(</m:t>
          </m:r>
          <m:r>
            <m:t>15</m:t>
          </m:r>
          <m:r>
            <m:rPr>
              <m:sty m:val="p"/>
            </m:rPr>
            <m:t>)</m:t>
          </m:r>
        </m:oMath>
      </m:oMathPara>
      <w:bookmarkEnd w:id="300"/>
    </w:p>
    <w:p>
      <w:pPr>
        <w:pStyle w:val="FirstParagraph"/>
      </w:pPr>
      <w:r>
        <w:t xml:space="preserve">Where CH and CV refer to dual polarization transmitting a circular polarized signal. [CH, CV] can be replaced by [LH, LV] or [RH, RV] for left (L) or right (R) hand circular transmission respectively, although RCM will offer only right-hand circular transmission. The coherent HH-VV configuration available on TerraSAR-X could also be represented as C2 format.</w:t>
      </w:r>
    </w:p>
    <w:p>
      <w:pPr>
        <w:pStyle w:val="Textkrper"/>
      </w:pPr>
      <w:r>
        <w:t xml:space="preserve">Polarimetric decomposition methods like</w:t>
      </w:r>
      <w:r>
        <w:t xml:space="preserve"> </w:t>
      </w:r>
      <w:r>
        <w:t xml:space="preserve">(</w:t>
      </w:r>
      <w:hyperlink w:anchor="ref-yamaguchi2011">
        <w:r>
          <w:rPr>
            <w:rStyle w:val="Hyperlink"/>
          </w:rPr>
          <w:t xml:space="preserve">Yamaguchi et al. 2011</w:t>
        </w:r>
      </w:hyperlink>
      <w:r>
        <w:t xml:space="preserve">)</w:t>
      </w:r>
      <w:r>
        <w:t xml:space="preserve"> </w:t>
      </w:r>
      <w:r>
        <w:t xml:space="preserve">for fully polarimetric, or m-chi</w:t>
      </w:r>
      <w:r>
        <w:t xml:space="preserve"> </w:t>
      </w:r>
      <w:r>
        <w:t xml:space="preserve">(</w:t>
      </w:r>
      <w:hyperlink w:anchor="ref-raney2012">
        <w:r>
          <w:rPr>
            <w:rStyle w:val="Hyperlink"/>
          </w:rPr>
          <w:t xml:space="preserve">Raney et al. 2012</w:t>
        </w:r>
      </w:hyperlink>
      <w:r>
        <w:t xml:space="preserve">)</w:t>
      </w:r>
      <w:r>
        <w:t xml:space="preserve"> </w:t>
      </w:r>
      <w:r>
        <w:t xml:space="preserve">for compact polarimetric data, can be applied directly on averaged (speckle filtered) C3 and C2 matrices respectively. These decompositions enhance scattering information, bring it to a more comprehensible level to end-users, and raise the performance of thematic classification methodologies. For SAR products that were acquired with single polarization the use of the covariance matrix does not result in superfluous storage requirements, since only the matrix elements that are populated are retained and the diagonal matrix elements are the backscatter intensities. Thus, a single channel intensity product would yield only one matrix element and the storage needs would not change.</w:t>
      </w:r>
    </w:p>
    <w:p>
      <w:pPr>
        <w:pStyle w:val="Textkrper"/>
      </w:pPr>
      <w:r>
        <w:t xml:space="preserve">In order to ease the data structure and the metadata in between C3 and C2, Eq. </w:t>
      </w:r>
      <w:hyperlink w:anchor="eq:sar-pol-covmat-eq1">
        <w:r>
          <w:rPr>
            <w:rStyle w:val="Hyperlink"/>
          </w:rPr>
          <w:t xml:space="preserve">12</w:t>
        </w:r>
      </w:hyperlink>
      <w:r>
        <w:t xml:space="preserve"> </w:t>
      </w:r>
      <w:r>
        <w:t xml:space="preserve">should be redefined as Eq. </w:t>
      </w:r>
      <w:hyperlink w:anchor="eq:sar-pol-covmat-eq5">
        <w:r>
          <w:rPr>
            <w:rStyle w:val="Hyperlink"/>
          </w:rPr>
          <w:t xml:space="preserve">16</w:t>
        </w:r>
      </w:hyperlink>
      <w:r>
        <w:t xml:space="preserve">. Users will have to take care of this non-standard representation when applying their polarimetric analytic tools. “&lt; &gt;” means that ARD matrix elements are speckle filtered. Eq. </w:t>
      </w:r>
      <w:hyperlink w:anchor="eq:sar-pol-covmat-eq5">
        <w:r>
          <w:rPr>
            <w:rStyle w:val="Hyperlink"/>
          </w:rPr>
          <w:t xml:space="preserve">16</w:t>
        </w:r>
      </w:hyperlink>
      <w:r>
        <w:t xml:space="preserve"> </w:t>
      </w:r>
      <w:r>
        <w:t xml:space="preserve">is valid both for dual-linear and quad polarization.</w:t>
      </w:r>
    </w:p>
    <w:p>
      <w:pPr>
        <w:pStyle w:val="Textkrper"/>
      </w:pPr>
      <w:bookmarkStart w:id="301" w:name="eq:sar-pol-covmat-eq5"/>
      <m:oMathPara>
        <m:oMathParaPr>
          <m:jc m:val="center"/>
        </m:oMathParaPr>
        <m:oMath>
          <m:r>
            <m:rPr>
              <m:nor/>
              <m:sty m:val="p"/>
            </m:rPr>
            <m:t>C3 modified:</m:t>
          </m:r>
          <m:r>
            <m:t> </m:t>
          </m:r>
          <m:r>
            <m:t>C</m:t>
          </m:r>
          <m:sSub>
            <m:e>
              <m:r>
                <m:t>3</m:t>
              </m:r>
            </m:e>
            <m:sub>
              <m:r>
                <m:t>m</m:t>
              </m:r>
            </m:sub>
          </m:sSub>
          <m:r>
            <m:rPr>
              <m:sty m:val="p"/>
            </m:rPr>
            <m:t>=</m:t>
          </m:r>
          <m:d>
            <m:dPr>
              <m:begChr m:val="["/>
              <m:sepChr m:val=""/>
              <m:endChr m:val="]"/>
              <m:grow/>
            </m:dPr>
            <m:e>
              <m:m>
                <m:mPr>
                  <m:baseJc m:val="center"/>
                  <m:plcHide m:val="on"/>
                  <m:mcs>
                    <m:mc>
                      <m:mcPr>
                        <m:mcJc m:val="center"/>
                        <m:count m:val="1"/>
                      </m:mcPr>
                    </m:mc>
                    <m:mc>
                      <m:mcPr>
                        <m:mcJc m:val="center"/>
                        <m:count m:val="1"/>
                      </m:mcPr>
                    </m:mc>
                    <m:mc>
                      <m:mcPr>
                        <m:mcJc m:val="center"/>
                        <m:count m:val="1"/>
                      </m:mcPr>
                    </m:mc>
                  </m:mcs>
                </m:mPr>
                <m:mr>
                  <m:e>
                    <m:r>
                      <m:rPr>
                        <m:sty m:val="p"/>
                      </m:rPr>
                      <m:t>|</m:t>
                    </m:r>
                    <m:r>
                      <m:rPr>
                        <m:sty m:val="p"/>
                      </m:rPr>
                      <m:t>⟨</m:t>
                    </m:r>
                    <m:r>
                      <m:rPr>
                        <m:sty m:val="b"/>
                      </m:rPr>
                      <m:t>H</m:t>
                    </m:r>
                    <m:r>
                      <m:rPr>
                        <m:sty m:val="b"/>
                      </m:rPr>
                      <m:t>H</m:t>
                    </m:r>
                    <m:sSup>
                      <m:e>
                        <m:r>
                          <m:rPr>
                            <m:sty m:val="p"/>
                          </m:rPr>
                          <m:t>|</m:t>
                        </m:r>
                      </m:e>
                      <m:sup>
                        <m:r>
                          <m:t>2</m:t>
                        </m:r>
                      </m:sup>
                    </m:sSup>
                    <m:r>
                      <m:rPr>
                        <m:sty m:val="p"/>
                      </m:rPr>
                      <m:t>⟩</m:t>
                    </m:r>
                  </m:e>
                  <m:e>
                    <m:r>
                      <m:rPr>
                        <m:sty m:val="p"/>
                      </m:rPr>
                      <m:t>⟨</m:t>
                    </m:r>
                    <m:r>
                      <m:rPr>
                        <m:sty m:val="b"/>
                      </m:rPr>
                      <m:t>H</m:t>
                    </m:r>
                    <m:r>
                      <m:rPr>
                        <m:sty m:val="b"/>
                      </m:rPr>
                      <m:t>H</m:t>
                    </m:r>
                    <m:r>
                      <m:rPr>
                        <m:sty m:val="p"/>
                      </m:rPr>
                      <m:t>⋅</m:t>
                    </m:r>
                    <m:r>
                      <m:rPr>
                        <m:sty m:val="b"/>
                      </m:rPr>
                      <m:t>H</m:t>
                    </m:r>
                    <m:sSup>
                      <m:e>
                        <m:r>
                          <m:rPr>
                            <m:sty m:val="b"/>
                          </m:rPr>
                          <m:t>V</m:t>
                        </m:r>
                      </m:e>
                      <m:sup>
                        <m:r>
                          <m:rPr>
                            <m:sty m:val="p"/>
                          </m:rPr>
                          <m:t>*</m:t>
                        </m:r>
                      </m:sup>
                    </m:sSup>
                    <m:r>
                      <m:rPr>
                        <m:sty m:val="p"/>
                      </m:rPr>
                      <m:t>⟩</m:t>
                    </m:r>
                  </m:e>
                  <m:e>
                    <m:r>
                      <m:rPr>
                        <m:sty m:val="p"/>
                      </m:rPr>
                      <m:t>⟨</m:t>
                    </m:r>
                    <m:r>
                      <m:rPr>
                        <m:sty m:val="b"/>
                      </m:rPr>
                      <m:t>H</m:t>
                    </m:r>
                    <m:r>
                      <m:rPr>
                        <m:sty m:val="b"/>
                      </m:rPr>
                      <m:t>H</m:t>
                    </m:r>
                    <m:r>
                      <m:rPr>
                        <m:sty m:val="p"/>
                      </m:rPr>
                      <m:t>⋅</m:t>
                    </m:r>
                    <m:r>
                      <m:rPr>
                        <m:sty m:val="b"/>
                      </m:rPr>
                      <m:t>V</m:t>
                    </m:r>
                    <m:sSup>
                      <m:e>
                        <m:r>
                          <m:rPr>
                            <m:sty m:val="b"/>
                          </m:rPr>
                          <m:t>V</m:t>
                        </m:r>
                      </m:e>
                      <m:sup>
                        <m:r>
                          <m:rPr>
                            <m:sty m:val="p"/>
                          </m:rPr>
                          <m:t>*</m:t>
                        </m:r>
                      </m:sup>
                    </m:sSup>
                    <m:r>
                      <m:rPr>
                        <m:sty m:val="p"/>
                      </m:rPr>
                      <m:t>⟩</m:t>
                    </m:r>
                  </m:e>
                </m:mr>
                <m:mr>
                  <m:e>
                    <m:r>
                      <m:rPr>
                        <m:sty m:val="p"/>
                      </m:rPr>
                      <m:t>⟨</m:t>
                    </m:r>
                    <m:r>
                      <m:t>H</m:t>
                    </m:r>
                    <m:r>
                      <m:t>V</m:t>
                    </m:r>
                    <m:r>
                      <m:rPr>
                        <m:sty m:val="p"/>
                      </m:rPr>
                      <m:t>⋅</m:t>
                    </m:r>
                    <m:r>
                      <m:t>H</m:t>
                    </m:r>
                    <m:sSup>
                      <m:e>
                        <m:r>
                          <m:t>H</m:t>
                        </m:r>
                      </m:e>
                      <m:sup>
                        <m:r>
                          <m:rPr>
                            <m:sty m:val="p"/>
                          </m:rPr>
                          <m:t>*</m:t>
                        </m:r>
                      </m:sup>
                    </m:sSup>
                    <m:r>
                      <m:rPr>
                        <m:sty m:val="p"/>
                      </m:rPr>
                      <m:t>⟩</m:t>
                    </m:r>
                  </m:e>
                  <m:e>
                    <m:r>
                      <m:rPr>
                        <m:sty m:val="p"/>
                      </m:rPr>
                      <m:t>⟨</m:t>
                    </m:r>
                    <m:r>
                      <m:rPr>
                        <m:sty m:val="p"/>
                      </m:rPr>
                      <m:t>|</m:t>
                    </m:r>
                    <m:r>
                      <m:rPr>
                        <m:sty m:val="b"/>
                      </m:rPr>
                      <m:t>H</m:t>
                    </m:r>
                    <m:r>
                      <m:rPr>
                        <m:sty m:val="b"/>
                      </m:rPr>
                      <m:t>V</m:t>
                    </m:r>
                    <m:sSup>
                      <m:e>
                        <m:r>
                          <m:rPr>
                            <m:sty m:val="p"/>
                          </m:rPr>
                          <m:t>|</m:t>
                        </m:r>
                      </m:e>
                      <m:sup>
                        <m:r>
                          <m:t>2</m:t>
                        </m:r>
                      </m:sup>
                    </m:sSup>
                    <m:r>
                      <m:rPr>
                        <m:sty m:val="p"/>
                      </m:rPr>
                      <m:t>⟩</m:t>
                    </m:r>
                  </m:e>
                  <m:e>
                    <m:r>
                      <m:rPr>
                        <m:sty m:val="p"/>
                      </m:rPr>
                      <m:t>⟨</m:t>
                    </m:r>
                    <m:r>
                      <m:rPr>
                        <m:sty m:val="b"/>
                      </m:rPr>
                      <m:t>H</m:t>
                    </m:r>
                    <m:r>
                      <m:rPr>
                        <m:sty m:val="b"/>
                      </m:rPr>
                      <m:t>V</m:t>
                    </m:r>
                    <m:r>
                      <m:rPr>
                        <m:sty m:val="p"/>
                      </m:rPr>
                      <m:t>⋅</m:t>
                    </m:r>
                    <m:r>
                      <m:rPr>
                        <m:sty m:val="b"/>
                      </m:rPr>
                      <m:t>V</m:t>
                    </m:r>
                    <m:sSup>
                      <m:e>
                        <m:r>
                          <m:rPr>
                            <m:sty m:val="b"/>
                          </m:rPr>
                          <m:t>V</m:t>
                        </m:r>
                      </m:e>
                      <m:sup>
                        <m:r>
                          <m:rPr>
                            <m:sty m:val="p"/>
                          </m:rPr>
                          <m:t>*</m:t>
                        </m:r>
                      </m:sup>
                    </m:sSup>
                    <m:r>
                      <m:rPr>
                        <m:sty m:val="p"/>
                      </m:rPr>
                      <m:t>⟩</m:t>
                    </m:r>
                  </m:e>
                </m:mr>
                <m:mr>
                  <m:e>
                    <m:r>
                      <m:rPr>
                        <m:sty m:val="p"/>
                      </m:rPr>
                      <m:t>⟨</m:t>
                    </m:r>
                    <m:r>
                      <m:t>V</m:t>
                    </m:r>
                    <m:r>
                      <m:t>V</m:t>
                    </m:r>
                    <m:r>
                      <m:rPr>
                        <m:sty m:val="p"/>
                      </m:rPr>
                      <m:t>⋅</m:t>
                    </m:r>
                    <m:r>
                      <m:t>H</m:t>
                    </m:r>
                    <m:sSup>
                      <m:e>
                        <m:r>
                          <m:t>H</m:t>
                        </m:r>
                      </m:e>
                      <m:sup>
                        <m:r>
                          <m:rPr>
                            <m:sty m:val="p"/>
                          </m:rPr>
                          <m:t>*</m:t>
                        </m:r>
                      </m:sup>
                    </m:sSup>
                    <m:r>
                      <m:rPr>
                        <m:sty m:val="p"/>
                      </m:rPr>
                      <m:t>⟩</m:t>
                    </m:r>
                  </m:e>
                  <m:e>
                    <m:r>
                      <m:rPr>
                        <m:sty m:val="p"/>
                      </m:rPr>
                      <m:t>⟨</m:t>
                    </m:r>
                    <m:r>
                      <m:t>V</m:t>
                    </m:r>
                    <m:r>
                      <m:t>V</m:t>
                    </m:r>
                    <m:r>
                      <m:rPr>
                        <m:sty m:val="p"/>
                      </m:rPr>
                      <m:t>⋅</m:t>
                    </m:r>
                    <m:r>
                      <m:t>H</m:t>
                    </m:r>
                    <m:sSup>
                      <m:e>
                        <m:r>
                          <m:t>V</m:t>
                        </m:r>
                      </m:e>
                      <m:sup>
                        <m:r>
                          <m:rPr>
                            <m:sty m:val="p"/>
                          </m:rPr>
                          <m:t>*</m:t>
                        </m:r>
                      </m:sup>
                    </m:sSup>
                    <m:r>
                      <m:rPr>
                        <m:sty m:val="p"/>
                      </m:rPr>
                      <m:t>⟩</m:t>
                    </m:r>
                  </m:e>
                  <m:e>
                    <m:r>
                      <m:rPr>
                        <m:sty m:val="p"/>
                      </m:rPr>
                      <m:t>⟨</m:t>
                    </m:r>
                    <m:r>
                      <m:rPr>
                        <m:sty m:val="p"/>
                      </m:rPr>
                      <m:t>|</m:t>
                    </m:r>
                    <m:r>
                      <m:rPr>
                        <m:sty m:val="b"/>
                      </m:rPr>
                      <m:t>V</m:t>
                    </m:r>
                    <m:r>
                      <m:rPr>
                        <m:sty m:val="b"/>
                      </m:rPr>
                      <m:t>V</m:t>
                    </m:r>
                    <m:sSup>
                      <m:e>
                        <m:r>
                          <m:rPr>
                            <m:sty m:val="p"/>
                          </m:rPr>
                          <m:t>|</m:t>
                        </m:r>
                      </m:e>
                      <m:sup>
                        <m:r>
                          <m:t>2</m:t>
                        </m:r>
                      </m:sup>
                    </m:sSup>
                    <m:r>
                      <m:rPr>
                        <m:sty m:val="p"/>
                      </m:rPr>
                      <m:t>⟩</m:t>
                    </m:r>
                  </m:e>
                </m:mr>
              </m:m>
            </m:e>
          </m:d>
          <m:r>
            <m:t>  </m:t>
          </m:r>
          <m:r>
            <m:rPr>
              <m:sty m:val="p"/>
            </m:rPr>
            <m:t>(</m:t>
          </m:r>
          <m:r>
            <m:t>16</m:t>
          </m:r>
          <m:r>
            <m:rPr>
              <m:sty m:val="p"/>
            </m:rPr>
            <m:t>)</m:t>
          </m:r>
        </m:oMath>
      </m:oMathPara>
      <w:bookmarkEnd w:id="301"/>
    </w:p>
    <w:p>
      <w:pPr>
        <w:pStyle w:val="FirstParagraph"/>
      </w:pPr>
      <w:r>
        <w:t xml:space="preserve">Furthermore, for compact polarimetric data, it is recommended to store them, by simple transformation, under the circular-circular basis, since RR and RL polarizations (Eq. </w:t>
      </w:r>
      <w:hyperlink w:anchor="eq:sar-pol-covmat-eq6">
        <w:r>
          <w:rPr>
            <w:rStyle w:val="Hyperlink"/>
          </w:rPr>
          <w:t xml:space="preserve">17</w:t>
        </w:r>
      </w:hyperlink>
      <w:r>
        <w:t xml:space="preserve">) permit faster and more intuitive RGB visualizations (R=RR, G=RR/(RR+RL), B= RL).</w:t>
      </w:r>
    </w:p>
    <w:p>
      <w:pPr>
        <w:pStyle w:val="Textkrper"/>
      </w:pPr>
      <w:bookmarkStart w:id="302" w:name="eq:sar-pol-covmat-eq6"/>
      <m:oMathPara>
        <m:oMathParaPr>
          <m:jc m:val="center"/>
        </m:oMathParaPr>
        <m:oMath>
          <m:r>
            <m:rPr>
              <m:nor/>
              <m:sty m:val="p"/>
            </m:rPr>
            <m:t>CH-CV (C2 circular):</m:t>
          </m:r>
          <m:r>
            <m:t> </m:t>
          </m:r>
          <m:r>
            <m:t>C</m:t>
          </m:r>
          <m:sSub>
            <m:e>
              <m:r>
                <m:t>2</m:t>
              </m:r>
            </m:e>
            <m:sub>
              <m:r>
                <m:t>c</m:t>
              </m:r>
            </m:sub>
          </m:sSub>
          <m:r>
            <m:rPr>
              <m:sty m:val="p"/>
            </m:rPr>
            <m:t>=</m:t>
          </m:r>
          <m:d>
            <m:dPr>
              <m:begChr m:val="["/>
              <m:sepChr m:val=""/>
              <m:endChr m:val="]"/>
              <m:grow/>
            </m:dPr>
            <m:e>
              <m:m>
                <m:mPr>
                  <m:baseJc m:val="center"/>
                  <m:plcHide m:val="on"/>
                  <m:mcs>
                    <m:mc>
                      <m:mcPr>
                        <m:mcJc m:val="center"/>
                        <m:count m:val="1"/>
                      </m:mcPr>
                    </m:mc>
                    <m:mc>
                      <m:mcPr>
                        <m:mcJc m:val="center"/>
                        <m:count m:val="1"/>
                      </m:mcPr>
                    </m:mc>
                  </m:mcs>
                </m:mPr>
                <m:mr>
                  <m:e>
                    <m:r>
                      <m:rPr>
                        <m:sty m:val="p"/>
                      </m:rPr>
                      <m:t>⟨</m:t>
                    </m:r>
                    <m:r>
                      <m:rPr>
                        <m:sty m:val="p"/>
                      </m:rPr>
                      <m:t>|</m:t>
                    </m:r>
                    <m:r>
                      <m:rPr>
                        <m:sty m:val="b"/>
                      </m:rPr>
                      <m:t>R</m:t>
                    </m:r>
                    <m:r>
                      <m:rPr>
                        <m:sty m:val="b"/>
                      </m:rPr>
                      <m:t>R</m:t>
                    </m:r>
                    <m:sSup>
                      <m:e>
                        <m:r>
                          <m:rPr>
                            <m:sty m:val="p"/>
                          </m:rPr>
                          <m:t>|</m:t>
                        </m:r>
                      </m:e>
                      <m:sup>
                        <m:r>
                          <m:t>2</m:t>
                        </m:r>
                      </m:sup>
                    </m:sSup>
                    <m:r>
                      <m:rPr>
                        <m:sty m:val="p"/>
                      </m:rPr>
                      <m:t>⟩</m:t>
                    </m:r>
                  </m:e>
                  <m:e>
                    <m:r>
                      <m:rPr>
                        <m:sty m:val="p"/>
                      </m:rPr>
                      <m:t>⟨</m:t>
                    </m:r>
                    <m:r>
                      <m:rPr>
                        <m:sty m:val="b"/>
                      </m:rPr>
                      <m:t>R</m:t>
                    </m:r>
                    <m:r>
                      <m:rPr>
                        <m:sty m:val="b"/>
                      </m:rPr>
                      <m:t>R</m:t>
                    </m:r>
                    <m:r>
                      <m:rPr>
                        <m:sty m:val="p"/>
                      </m:rPr>
                      <m:t>⋅</m:t>
                    </m:r>
                    <m:r>
                      <m:rPr>
                        <m:sty m:val="b"/>
                      </m:rPr>
                      <m:t>R</m:t>
                    </m:r>
                    <m:sSup>
                      <m:e>
                        <m:r>
                          <m:rPr>
                            <m:sty m:val="b"/>
                          </m:rPr>
                          <m:t>¬</m:t>
                        </m:r>
                      </m:e>
                      <m:sup>
                        <m:r>
                          <m:rPr>
                            <m:sty m:val="p"/>
                          </m:rPr>
                          <m:t>*</m:t>
                        </m:r>
                      </m:sup>
                    </m:sSup>
                    <m:r>
                      <m:rPr>
                        <m:sty m:val="p"/>
                      </m:rPr>
                      <m:t>⟩</m:t>
                    </m:r>
                  </m:e>
                </m:mr>
                <m:mr>
                  <m:e>
                    <m:r>
                      <m:rPr>
                        <m:sty m:val="p"/>
                      </m:rPr>
                      <m:t>⟨</m:t>
                    </m:r>
                    <m:r>
                      <m:t>R</m:t>
                    </m:r>
                    <m:r>
                      <m:t>L</m:t>
                    </m:r>
                    <m:r>
                      <m:rPr>
                        <m:sty m:val="p"/>
                      </m:rPr>
                      <m:t>⋅</m:t>
                    </m:r>
                    <m:r>
                      <m:t>R</m:t>
                    </m:r>
                    <m:sSup>
                      <m:e>
                        <m:r>
                          <m:t>R</m:t>
                        </m:r>
                      </m:e>
                      <m:sup>
                        <m:r>
                          <m:rPr>
                            <m:sty m:val="p"/>
                          </m:rPr>
                          <m:t>*</m:t>
                        </m:r>
                      </m:sup>
                    </m:sSup>
                    <m:r>
                      <m:rPr>
                        <m:sty m:val="p"/>
                      </m:rPr>
                      <m:t>⟩</m:t>
                    </m:r>
                  </m:e>
                  <m:e>
                    <m:r>
                      <m:rPr>
                        <m:sty m:val="p"/>
                      </m:rPr>
                      <m:t>⟨</m:t>
                    </m:r>
                    <m:r>
                      <m:rPr>
                        <m:sty m:val="p"/>
                      </m:rPr>
                      <m:t>|</m:t>
                    </m:r>
                    <m:r>
                      <m:rPr>
                        <m:sty m:val="b"/>
                      </m:rPr>
                      <m:t>R</m:t>
                    </m:r>
                    <m:r>
                      <m:rPr>
                        <m:sty m:val="b"/>
                      </m:rPr>
                      <m:t>L</m:t>
                    </m:r>
                    <m:sSup>
                      <m:e>
                        <m:r>
                          <m:rPr>
                            <m:sty m:val="p"/>
                          </m:rPr>
                          <m:t>|</m:t>
                        </m:r>
                      </m:e>
                      <m:sup>
                        <m:r>
                          <m:t>2</m:t>
                        </m:r>
                      </m:sup>
                    </m:sSup>
                    <m:r>
                      <m:rPr>
                        <m:sty m:val="p"/>
                      </m:rPr>
                      <m:t>⟩</m:t>
                    </m:r>
                  </m:e>
                </m:mr>
              </m:m>
            </m:e>
          </m:d>
          <m:r>
            <m:t>  </m:t>
          </m:r>
          <m:r>
            <m:rPr>
              <m:sty m:val="p"/>
            </m:rPr>
            <m:t>(</m:t>
          </m:r>
          <m:r>
            <m:t>17</m:t>
          </m:r>
          <m:r>
            <m:rPr>
              <m:sty m:val="p"/>
            </m:rPr>
            <m:t>)</m:t>
          </m:r>
        </m:oMath>
      </m:oMathPara>
      <w:bookmarkEnd w:id="302"/>
    </w:p>
    <w:bookmarkEnd w:id="303"/>
    <w:bookmarkEnd w:id="304"/>
    <w:bookmarkEnd w:id="305"/>
    <w:sectPr w:rsidR="00B92216" w:rsidSect="00676A71">
      <w:headerReference r:id="rId9" w:type="even"/>
      <w:headerReference r:id="rId10" w:type="default"/>
      <w:footerReference r:id="rId11" w:type="even"/>
      <w:footerReference r:id="rId12" w:type="default"/>
      <w:headerReference r:id="rId13" w:type="first"/>
      <w:footerReference r:id="rId14" w:type="first"/>
      <w:pgSz w:code="9" w:h="16838" w:w="11906"/>
      <w:pgMar w:bottom="1080" w:footer="567" w:gutter="0" w:header="567" w:left="1440" w:right="1440" w:top="1080"/>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585D0" w14:textId="77777777" w:rsidR="00676A71" w:rsidRDefault="00676A7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B1CB1" w14:textId="77777777" w:rsidR="00676A71" w:rsidRDefault="00676A71">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7DB4A" w14:textId="77777777" w:rsidR="00676A71" w:rsidRDefault="00676A71">
    <w:pPr>
      <w:pStyle w:val="Fuzeile"/>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79">
    <w:p>
      <w:pPr>
        <w:pStyle w:val="Funotentext"/>
      </w:pPr>
      <w:r>
        <w:rPr>
          <w:rStyle w:val="Funotenzeichen"/>
        </w:rPr>
        <w:footnoteRef/>
      </w:r>
      <w:r>
        <w:t xml:space="preserve"> </w:t>
      </w:r>
      <w:r>
        <w:t xml:space="preserve">For data crossing the North or South Pole, it is recommended to produce two distinct products and to use the appropriate “Pass direction” in each.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A8CE1" w14:textId="77777777" w:rsidR="00676A71" w:rsidRDefault="00676A7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82FC7" w14:textId="2986042D" w:rsidR="00383D64" w:rsidRPr="00C1499F" w:rsidRDefault="00000000">
    <w:pPr>
      <w:pStyle w:val="Kopfzeile"/>
      <w:rPr>
        <w:color w:val="3A3A3A" w:themeColor="background2" w:themeShade="40"/>
        <w:sz w:val="18"/>
        <w:szCs w:val="18"/>
      </w:rPr>
    </w:pPr>
    <w:sdt>
      <w:sdtPr>
        <w:rPr>
          <w:color w:val="3A3A3A" w:themeColor="background2" w:themeShade="40"/>
          <w:sz w:val="18"/>
          <w:szCs w:val="18"/>
        </w:rPr>
        <w:alias w:val="Titel"/>
        <w:tag w:val=""/>
        <w:id w:val="485828253"/>
        <w:placeholder>
          <w:docPart w:val="009315AAEC664A5D87963A90F440677B"/>
        </w:placeholder>
        <w:dataBinding w:prefixMappings="xmlns:ns0='http://purl.org/dc/elements/1.1/' xmlns:ns1='http://schemas.openxmlformats.org/package/2006/metadata/core-properties' " w:xpath="/ns1:coreProperties[1]/ns0:title[1]" w:storeItemID="{6C3C8BC8-F283-45AE-878A-BAB7291924A1}"/>
        <w:text/>
      </w:sdtPr>
      <w:sdtContent>
        <w:r w:rsidR="00400174">
          <w:rPr>
            <w:color w:val="3A3A3A" w:themeColor="background2" w:themeShade="40"/>
            <w:sz w:val="18"/>
            <w:szCs w:val="18"/>
          </w:rPr>
          <w:t>Title</w:t>
        </w:r>
      </w:sdtContent>
    </w:sdt>
    <w:r w:rsidR="00383D64" w:rsidRPr="00C1499F">
      <w:rPr>
        <w:color w:val="3A3A3A" w:themeColor="background2" w:themeShade="40"/>
        <w:sz w:val="18"/>
        <w:szCs w:val="18"/>
      </w:rPr>
      <w:tab/>
    </w:r>
    <w:r w:rsidR="00383D64" w:rsidRPr="00C1499F">
      <w:rPr>
        <w:color w:val="3A3A3A" w:themeColor="background2" w:themeShade="40"/>
        <w:sz w:val="18"/>
        <w:szCs w:val="18"/>
      </w:rPr>
      <w:tab/>
    </w:r>
    <w:r w:rsidR="00383D64" w:rsidRPr="00C1499F">
      <w:rPr>
        <w:color w:val="3A3A3A" w:themeColor="background2" w:themeShade="40"/>
        <w:sz w:val="18"/>
        <w:szCs w:val="18"/>
      </w:rPr>
      <w:tab/>
    </w:r>
    <w:r w:rsidR="00383D64" w:rsidRPr="00C1499F">
      <w:rPr>
        <w:color w:val="3A3A3A" w:themeColor="background2" w:themeShade="40"/>
        <w:sz w:val="18"/>
        <w:szCs w:val="18"/>
      </w:rPr>
      <w:fldChar w:fldCharType="begin"/>
    </w:r>
    <w:r w:rsidR="00383D64" w:rsidRPr="00C1499F">
      <w:rPr>
        <w:color w:val="3A3A3A" w:themeColor="background2" w:themeShade="40"/>
        <w:sz w:val="18"/>
        <w:szCs w:val="18"/>
      </w:rPr>
      <w:instrText xml:space="preserve"> PAGE  \* Arabic  \* MERGEFORMAT </w:instrText>
    </w:r>
    <w:r w:rsidR="00383D64" w:rsidRPr="00C1499F">
      <w:rPr>
        <w:color w:val="3A3A3A" w:themeColor="background2" w:themeShade="40"/>
        <w:sz w:val="18"/>
        <w:szCs w:val="18"/>
      </w:rPr>
      <w:fldChar w:fldCharType="separate"/>
    </w:r>
    <w:r w:rsidR="00383D64" w:rsidRPr="00C1499F">
      <w:rPr>
        <w:noProof/>
        <w:color w:val="3A3A3A" w:themeColor="background2" w:themeShade="40"/>
        <w:sz w:val="18"/>
        <w:szCs w:val="18"/>
      </w:rPr>
      <w:t>1</w:t>
    </w:r>
    <w:r w:rsidR="00383D64" w:rsidRPr="00C1499F">
      <w:rPr>
        <w:color w:val="3A3A3A" w:themeColor="background2" w:themeShade="40"/>
        <w:sz w:val="18"/>
        <w:szCs w:val="1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6B98C" w14:textId="77777777" w:rsidR="00676A71" w:rsidRDefault="00676A71">
    <w:pPr>
      <w:pStyle w:val="Kopfzeile"/>
    </w:pPr>
  </w:p>
</w:hdr>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abstractNum w15:restartNumberingAfterBreak="0" w:abstractNumId="0">
    <w:nsid w:val="170CD2DE"/>
    <w:multiLevelType w:val="multilevel"/>
    <w:tmpl w:val="56649C54"/>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16cid:durableId="1514028533" w:numId="1">
    <w:abstractNumId w:val="0"/>
  </w: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1"/>
  </w:num>
  <w:num w:numId="1059">
    <w:abstractNumId w:val="991"/>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1"/>
  </w:num>
  <w:num w:numId="1074">
    <w:abstractNumId w:val="991"/>
  </w:num>
  <w:num w:numId="10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6">
    <w:abstractNumId w:val="991"/>
  </w:num>
  <w:num w:numId="1077">
    <w:abstractNumId w:val="991"/>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1"/>
  </w:num>
  <w:num w:numId="1080">
    <w:abstractNumId w:val="991"/>
  </w:num>
  <w:num w:numId="1081">
    <w:abstractNumId w:val="991"/>
  </w:num>
  <w:num w:numId="1082">
    <w:abstractNumId w:val="991"/>
  </w:num>
  <w:num w:numId="1083">
    <w:abstractNumId w:val="991"/>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1"/>
  </w:num>
  <w:num w:numId="1086">
    <w:abstractNumId w:val="991"/>
  </w:num>
  <w:num w:numId="1087">
    <w:abstractNumId w:val="991"/>
  </w:num>
  <w:num w:numId="1088">
    <w:abstractNumId w:val="991"/>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1"/>
  </w:num>
  <w:num w:numId="1091">
    <w:abstractNumId w:val="991"/>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1"/>
  </w:num>
  <w:num w:numId="1094">
    <w:abstractNumId w:val="991"/>
  </w:num>
  <w:num w:numId="1095">
    <w:abstractNumId w:val="991"/>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hyphenationZone w:val="425"/>
  <w:drawingGridHorizontalSpacing w:val="360"/>
  <w:drawingGridVerticalSpacing w:val="360"/>
  <w:displayHorizontalDrawingGridEvery w:val="0"/>
  <w:displayVerticalDrawingGridEvery w:val="0"/>
  <w:characterSpacingControl w:val="doNotCompress"/>
  <w:savePreviewPicture/>
  <w:hdrShapeDefaults>
    <o:shapedefaults spidmax="2050" v:ext="edit"/>
  </w:hdrShapeDefaults>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B92216"/>
    <w:rsid w:val="00107D3C"/>
    <w:rsid w:val="001237D2"/>
    <w:rsid w:val="00126B8D"/>
    <w:rsid w:val="001D5806"/>
    <w:rsid w:val="002414F3"/>
    <w:rsid w:val="00325BB6"/>
    <w:rsid w:val="00383D64"/>
    <w:rsid w:val="00400174"/>
    <w:rsid w:val="00401562"/>
    <w:rsid w:val="005264C6"/>
    <w:rsid w:val="00534ED4"/>
    <w:rsid w:val="00571640"/>
    <w:rsid w:val="005863B3"/>
    <w:rsid w:val="005B727A"/>
    <w:rsid w:val="005D7A20"/>
    <w:rsid w:val="005E0659"/>
    <w:rsid w:val="00610FB9"/>
    <w:rsid w:val="00612177"/>
    <w:rsid w:val="00631C98"/>
    <w:rsid w:val="00676A71"/>
    <w:rsid w:val="006D1BBC"/>
    <w:rsid w:val="007154AC"/>
    <w:rsid w:val="007476F9"/>
    <w:rsid w:val="00754591"/>
    <w:rsid w:val="00761883"/>
    <w:rsid w:val="007C4675"/>
    <w:rsid w:val="0095700B"/>
    <w:rsid w:val="00993E42"/>
    <w:rsid w:val="009C5493"/>
    <w:rsid w:val="00A24F98"/>
    <w:rsid w:val="00A765F6"/>
    <w:rsid w:val="00B07C6B"/>
    <w:rsid w:val="00B46612"/>
    <w:rsid w:val="00B92216"/>
    <w:rsid w:val="00BA1D31"/>
    <w:rsid w:val="00BD04E8"/>
    <w:rsid w:val="00BF6568"/>
    <w:rsid w:val="00C1499F"/>
    <w:rsid w:val="00CF624D"/>
    <w:rsid w:val="00CF64FA"/>
    <w:rsid w:val="00E56CB6"/>
    <w:rsid w:val="00E94ABB"/>
    <w:rsid w:val="00F076E9"/>
    <w:rsid w:val="00F17E86"/>
    <w:rsid w:val="00F40520"/>
  </w:rsids>
  <w:themeFontLang w:val="en-US"/>
  <w:clrSchemeMapping w:accent1="accent1" w:accent2="accent2" w:accent3="accent3" w:accent4="accent4" w:accent5="accent5" w:accent6="accent6" w:bg1="light1" w:bg2="light2" w:followedHyperlink="followedHyperlink" w:hyperlink="hyperlink" w:t1="dark1" w:t2="dark2"/>
  <w:shapeDefaults>
    <o:shapedefaults spidmax="2050" v:ext="edit"/>
    <o:shapelayout v:ext="edit">
      <o:idmap data="2"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footer"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Standard" w:type="paragraph">
    <w:name w:val="Normal"/>
    <w:qFormat/>
  </w:style>
  <w:style w:styleId="berschrift1" w:type="paragraph">
    <w:name w:val="heading 1"/>
    <w:basedOn w:val="Standard"/>
    <w:next w:val="Textkrper"/>
    <w:link w:val="berschrift1Zchn"/>
    <w:uiPriority w:val="9"/>
    <w:qFormat/>
    <w:rsid w:val="00401562"/>
    <w:pPr>
      <w:keepNext/>
      <w:keepLines/>
      <w:spacing w:after="80" w:before="360"/>
      <w:jc w:val="center"/>
      <w:outlineLvl w:val="0"/>
    </w:pPr>
    <w:rPr>
      <w:rFonts w:asciiTheme="majorHAnsi" w:cstheme="majorBidi" w:eastAsiaTheme="majorEastAsia" w:hAnsiTheme="majorHAnsi"/>
      <w:color w:themeColor="text1" w:themeTint="A6" w:val="595959"/>
      <w:sz w:val="48"/>
      <w:szCs w:val="40"/>
    </w:rPr>
  </w:style>
  <w:style w:styleId="berschrift2" w:type="paragraph">
    <w:name w:val="heading 2"/>
    <w:basedOn w:val="Standard"/>
    <w:next w:val="Textkrper"/>
    <w:link w:val="berschrift2Zchn"/>
    <w:uiPriority w:val="9"/>
    <w:unhideWhenUsed/>
    <w:qFormat/>
    <w:rsid w:val="00B46612"/>
    <w:pPr>
      <w:keepNext/>
      <w:keepLines/>
      <w:pBdr>
        <w:bottom w:color="auto" w:space="1" w:sz="4" w:val="single"/>
      </w:pBdr>
      <w:spacing w:after="220" w:before="440"/>
      <w:outlineLvl w:val="1"/>
    </w:pPr>
    <w:rPr>
      <w:rFonts w:asciiTheme="majorHAnsi" w:cstheme="majorBidi" w:eastAsiaTheme="majorEastAsia" w:hAnsiTheme="majorHAnsi"/>
      <w:color w:themeColor="accent1" w:themeShade="BF" w:val="0F4761"/>
      <w:sz w:val="44"/>
      <w:szCs w:val="32"/>
    </w:rPr>
  </w:style>
  <w:style w:styleId="berschrift3" w:type="paragraph">
    <w:name w:val="heading 3"/>
    <w:basedOn w:val="Standard"/>
    <w:next w:val="Textkrper"/>
    <w:link w:val="berschrift3Zchn"/>
    <w:uiPriority w:val="9"/>
    <w:unhideWhenUsed/>
    <w:qFormat/>
    <w:rsid w:val="00CF624D"/>
    <w:pPr>
      <w:keepNext/>
      <w:keepLines/>
      <w:pBdr>
        <w:bottom w:color="0F4761" w:space="1" w:sz="4" w:val="dotted"/>
      </w:pBdr>
      <w:spacing w:after="180" w:before="360"/>
      <w:outlineLvl w:val="2"/>
    </w:pPr>
    <w:rPr>
      <w:rFonts w:cstheme="majorBidi" w:eastAsiaTheme="majorEastAsia"/>
      <w:color w:themeColor="accent1" w:themeShade="BF" w:val="0F4761"/>
      <w:sz w:val="36"/>
      <w:szCs w:val="28"/>
    </w:rPr>
  </w:style>
  <w:style w:styleId="berschrift4" w:type="paragraph">
    <w:name w:val="heading 4"/>
    <w:basedOn w:val="Standard"/>
    <w:next w:val="Textkrper"/>
    <w:link w:val="berschrift4Zchn"/>
    <w:uiPriority w:val="9"/>
    <w:unhideWhenUsed/>
    <w:qFormat/>
    <w:rsid w:val="00CF624D"/>
    <w:pPr>
      <w:keepNext/>
      <w:keepLines/>
      <w:spacing w:after="160" w:before="320"/>
      <w:outlineLvl w:val="3"/>
    </w:pPr>
    <w:rPr>
      <w:rFonts w:cstheme="majorBidi" w:eastAsiaTheme="majorEastAsia"/>
      <w:iCs/>
      <w:color w:themeColor="accent1" w:themeShade="BF" w:val="0F4761"/>
      <w:sz w:val="32"/>
    </w:rPr>
  </w:style>
  <w:style w:styleId="berschrift5" w:type="paragraph">
    <w:name w:val="heading 5"/>
    <w:basedOn w:val="Standard"/>
    <w:next w:val="Textkrper"/>
    <w:link w:val="berschrift5Zchn"/>
    <w:uiPriority w:val="9"/>
    <w:unhideWhenUsed/>
    <w:qFormat/>
    <w:rsid w:val="00CF624D"/>
    <w:pPr>
      <w:keepNext/>
      <w:keepLines/>
      <w:spacing w:after="120" w:before="240"/>
      <w:outlineLvl w:val="4"/>
    </w:pPr>
    <w:rPr>
      <w:rFonts w:cstheme="majorBidi" w:eastAsiaTheme="majorEastAsia"/>
      <w:b/>
      <w:sz w:val="26"/>
      <w:u w:val="single"/>
    </w:rPr>
  </w:style>
  <w:style w:styleId="berschrift6" w:type="paragraph">
    <w:name w:val="heading 6"/>
    <w:basedOn w:val="Standard"/>
    <w:next w:val="Textkrper"/>
    <w:link w:val="berschrift6Zchn"/>
    <w:uiPriority w:val="9"/>
    <w:unhideWhenUsed/>
    <w:qFormat/>
    <w:rsid w:val="00401562"/>
    <w:pPr>
      <w:keepNext/>
      <w:keepLines/>
      <w:spacing w:after="0" w:before="40"/>
      <w:outlineLvl w:val="5"/>
    </w:pPr>
    <w:rPr>
      <w:rFonts w:cstheme="majorBidi" w:eastAsiaTheme="majorEastAsia"/>
      <w:iCs/>
      <w:color w:themeColor="text1" w:themeTint="A6" w:val="595959"/>
      <w:sz w:val="26"/>
      <w:u w:val="single"/>
    </w:rPr>
  </w:style>
  <w:style w:styleId="berschrift7" w:type="paragraph">
    <w:name w:val="heading 7"/>
    <w:basedOn w:val="Standard"/>
    <w:next w:val="Textkrper"/>
    <w:link w:val="berschrift7Zchn"/>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berschrift8" w:type="paragraph">
    <w:name w:val="heading 8"/>
    <w:basedOn w:val="Standard"/>
    <w:next w:val="Textkrper"/>
    <w:link w:val="berschrift8Zchn"/>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berschrift9" w:type="paragraph">
    <w:name w:val="heading 9"/>
    <w:basedOn w:val="Standard"/>
    <w:next w:val="Textkrper"/>
    <w:link w:val="berschrift9Zchn"/>
    <w:uiPriority w:val="9"/>
    <w:semiHidden/>
    <w:unhideWhenUsed/>
    <w:qFormat/>
    <w:rsid w:val="00A10FD9"/>
    <w:pPr>
      <w:keepNext/>
      <w:keepLines/>
      <w:spacing w:after="0"/>
      <w:outlineLvl w:val="8"/>
    </w:pPr>
    <w:rPr>
      <w:rFonts w:cstheme="majorBidi" w:eastAsiaTheme="majorEastAsia"/>
      <w:color w:themeColor="text1" w:themeTint="D8" w:val="272727"/>
    </w:rPr>
  </w:style>
  <w:style w:default="1" w:styleId="Absatz-Standardschriftart" w:type="character">
    <w:name w:val="Default Paragraph Font"/>
    <w:uiPriority w:val="1"/>
    <w:semiHidden/>
    <w:unhideWhenUsed/>
  </w:style>
  <w:style w:default="1" w:styleId="NormaleTabelle" w:type="table">
    <w:name w:val="Normal Table"/>
    <w:uiPriority w:val="99"/>
    <w:semiHidden/>
    <w:unhideWhenUsed/>
    <w:tblPr>
      <w:tblInd w:type="dxa" w:w="0"/>
      <w:tblCellMar>
        <w:top w:type="dxa" w:w="0"/>
        <w:left w:type="dxa" w:w="108"/>
        <w:bottom w:type="dxa" w:w="0"/>
        <w:right w:type="dxa" w:w="108"/>
      </w:tblCellMar>
    </w:tblPr>
  </w:style>
  <w:style w:default="1" w:styleId="KeineListe" w:type="numbering">
    <w:name w:val="No List"/>
    <w:uiPriority w:val="99"/>
    <w:semiHidden/>
    <w:unhideWhenUsed/>
  </w:style>
  <w:style w:styleId="Textkrper" w:type="paragraph">
    <w:name w:val="Body Text"/>
    <w:basedOn w:val="Standard"/>
    <w:qFormat/>
    <w:pPr>
      <w:spacing w:after="180" w:before="180"/>
    </w:pPr>
  </w:style>
  <w:style w:customStyle="1" w:styleId="FirstParagraph" w:type="paragraph">
    <w:name w:val="First Paragraph"/>
    <w:basedOn w:val="Textkrper"/>
    <w:next w:val="Textkrper"/>
    <w:qFormat/>
  </w:style>
  <w:style w:customStyle="1" w:styleId="Compact" w:type="paragraph">
    <w:name w:val="Compact"/>
    <w:basedOn w:val="Textkrper"/>
    <w:qFormat/>
    <w:pPr>
      <w:spacing w:after="36" w:before="36"/>
    </w:pPr>
  </w:style>
  <w:style w:styleId="Titel" w:type="paragraph">
    <w:name w:val="Title"/>
    <w:basedOn w:val="Standard"/>
    <w:next w:val="Textkrper"/>
    <w:link w:val="TitelZchn"/>
    <w:uiPriority w:val="10"/>
    <w:qFormat/>
    <w:rsid w:val="002414F3"/>
    <w:pPr>
      <w:spacing w:after="80"/>
      <w:contextualSpacing/>
      <w:jc w:val="center"/>
    </w:pPr>
    <w:rPr>
      <w:rFonts w:asciiTheme="majorHAnsi" w:cstheme="majorBidi" w:eastAsiaTheme="majorEastAsia" w:hAnsiTheme="majorHAnsi"/>
      <w:color w:themeColor="text1" w:themeTint="A6" w:val="595959"/>
      <w:spacing w:val="-10"/>
      <w:kern w:val="28"/>
      <w:sz w:val="48"/>
      <w:szCs w:val="56"/>
    </w:rPr>
  </w:style>
  <w:style w:customStyle="1" w:styleId="TitelZchn" w:type="character">
    <w:name w:val="Titel Zchn"/>
    <w:basedOn w:val="Absatz-Standardschriftart"/>
    <w:link w:val="Titel"/>
    <w:uiPriority w:val="10"/>
    <w:rsid w:val="002414F3"/>
    <w:rPr>
      <w:rFonts w:asciiTheme="majorHAnsi" w:cstheme="majorBidi" w:eastAsiaTheme="majorEastAsia" w:hAnsiTheme="majorHAnsi"/>
      <w:color w:themeColor="text1" w:themeTint="A6" w:val="595959"/>
      <w:spacing w:val="-10"/>
      <w:kern w:val="28"/>
      <w:sz w:val="48"/>
      <w:szCs w:val="56"/>
    </w:rPr>
  </w:style>
  <w:style w:styleId="Untertitel" w:type="paragraph">
    <w:name w:val="Subtitle"/>
    <w:basedOn w:val="Standard"/>
    <w:next w:val="Textkrper"/>
    <w:link w:val="UntertitelZchn"/>
    <w:uiPriority w:val="11"/>
    <w:qFormat/>
    <w:rsid w:val="002414F3"/>
    <w:pPr>
      <w:numPr>
        <w:ilvl w:val="1"/>
      </w:numPr>
      <w:jc w:val="center"/>
    </w:pPr>
    <w:rPr>
      <w:rFonts w:asciiTheme="majorHAnsi" w:cstheme="majorBidi" w:eastAsiaTheme="majorEastAsia" w:hAnsiTheme="majorHAnsi"/>
      <w:spacing w:val="15"/>
      <w:sz w:val="48"/>
      <w:szCs w:val="28"/>
    </w:rPr>
  </w:style>
  <w:style w:customStyle="1" w:styleId="UntertitelZchn" w:type="character">
    <w:name w:val="Untertitel Zchn"/>
    <w:basedOn w:val="Absatz-Standardschriftart"/>
    <w:link w:val="Untertitel"/>
    <w:uiPriority w:val="11"/>
    <w:rsid w:val="002414F3"/>
    <w:rPr>
      <w:rFonts w:asciiTheme="majorHAnsi" w:cstheme="majorBidi" w:eastAsiaTheme="majorEastAsia" w:hAnsiTheme="majorHAnsi"/>
      <w:spacing w:val="15"/>
      <w:sz w:val="48"/>
      <w:szCs w:val="28"/>
    </w:rPr>
  </w:style>
  <w:style w:customStyle="1" w:styleId="Author" w:type="paragraph">
    <w:name w:val="Author"/>
    <w:next w:val="Textkrper"/>
    <w:qFormat/>
    <w:pPr>
      <w:keepNext/>
      <w:keepLines/>
      <w:jc w:val="center"/>
    </w:pPr>
  </w:style>
  <w:style w:styleId="Datum" w:type="paragraph">
    <w:name w:val="Date"/>
    <w:next w:val="Textkrper"/>
    <w:qFormat/>
    <w:pPr>
      <w:keepNext/>
      <w:keepLines/>
      <w:jc w:val="center"/>
    </w:pPr>
  </w:style>
  <w:style w:customStyle="1" w:styleId="AbstractTitle" w:type="paragraph">
    <w:name w:val="Abstract Title"/>
    <w:basedOn w:val="Standard"/>
    <w:next w:val="Abstract"/>
    <w:qFormat/>
    <w:pPr>
      <w:keepNext/>
      <w:keepLines/>
      <w:spacing w:after="0" w:before="300"/>
      <w:jc w:val="center"/>
    </w:pPr>
    <w:rPr>
      <w:b/>
      <w:color w:val="345A8A"/>
      <w:sz w:val="20"/>
      <w:szCs w:val="20"/>
    </w:rPr>
  </w:style>
  <w:style w:customStyle="1" w:styleId="Abstract" w:type="paragraph">
    <w:name w:val="Abstract"/>
    <w:basedOn w:val="Standard"/>
    <w:next w:val="Textkrper"/>
    <w:qFormat/>
    <w:pPr>
      <w:keepNext/>
      <w:keepLines/>
      <w:spacing w:after="300" w:before="100"/>
    </w:pPr>
    <w:rPr>
      <w:sz w:val="20"/>
      <w:szCs w:val="20"/>
    </w:rPr>
  </w:style>
  <w:style w:styleId="Literaturverzeichnis" w:type="paragraph">
    <w:name w:val="Bibliography"/>
    <w:basedOn w:val="Standard"/>
    <w:qFormat/>
  </w:style>
  <w:style w:customStyle="1" w:styleId="berschrift1Zchn" w:type="character">
    <w:name w:val="Überschrift 1 Zchn"/>
    <w:basedOn w:val="Absatz-Standardschriftart"/>
    <w:link w:val="berschrift1"/>
    <w:uiPriority w:val="9"/>
    <w:rsid w:val="00401562"/>
    <w:rPr>
      <w:rFonts w:asciiTheme="majorHAnsi" w:cstheme="majorBidi" w:eastAsiaTheme="majorEastAsia" w:hAnsiTheme="majorHAnsi"/>
      <w:color w:themeColor="text1" w:themeTint="A6" w:val="595959"/>
      <w:sz w:val="48"/>
      <w:szCs w:val="40"/>
    </w:rPr>
  </w:style>
  <w:style w:customStyle="1" w:styleId="berschrift2Zchn" w:type="character">
    <w:name w:val="Überschrift 2 Zchn"/>
    <w:basedOn w:val="Absatz-Standardschriftart"/>
    <w:link w:val="berschrift2"/>
    <w:uiPriority w:val="9"/>
    <w:rsid w:val="00B46612"/>
    <w:rPr>
      <w:rFonts w:asciiTheme="majorHAnsi" w:cstheme="majorBidi" w:eastAsiaTheme="majorEastAsia" w:hAnsiTheme="majorHAnsi"/>
      <w:color w:themeColor="accent1" w:themeShade="BF" w:val="0F4761"/>
      <w:sz w:val="44"/>
      <w:szCs w:val="32"/>
    </w:rPr>
  </w:style>
  <w:style w:customStyle="1" w:styleId="berschrift3Zchn" w:type="character">
    <w:name w:val="Überschrift 3 Zchn"/>
    <w:basedOn w:val="Absatz-Standardschriftart"/>
    <w:link w:val="berschrift3"/>
    <w:uiPriority w:val="9"/>
    <w:rsid w:val="00CF624D"/>
    <w:rPr>
      <w:rFonts w:cstheme="majorBidi" w:eastAsiaTheme="majorEastAsia"/>
      <w:color w:themeColor="accent1" w:themeShade="BF" w:val="0F4761"/>
      <w:sz w:val="36"/>
      <w:szCs w:val="28"/>
    </w:rPr>
  </w:style>
  <w:style w:customStyle="1" w:styleId="berschrift4Zchn" w:type="character">
    <w:name w:val="Überschrift 4 Zchn"/>
    <w:basedOn w:val="Absatz-Standardschriftart"/>
    <w:link w:val="berschrift4"/>
    <w:uiPriority w:val="9"/>
    <w:rsid w:val="00CF624D"/>
    <w:rPr>
      <w:rFonts w:cstheme="majorBidi" w:eastAsiaTheme="majorEastAsia"/>
      <w:iCs/>
      <w:color w:themeColor="accent1" w:themeShade="BF" w:val="0F4761"/>
      <w:sz w:val="32"/>
    </w:rPr>
  </w:style>
  <w:style w:customStyle="1" w:styleId="berschrift5Zchn" w:type="character">
    <w:name w:val="Überschrift 5 Zchn"/>
    <w:basedOn w:val="Absatz-Standardschriftart"/>
    <w:link w:val="berschrift5"/>
    <w:uiPriority w:val="9"/>
    <w:rsid w:val="00CF624D"/>
    <w:rPr>
      <w:rFonts w:cstheme="majorBidi" w:eastAsiaTheme="majorEastAsia"/>
      <w:b/>
      <w:sz w:val="26"/>
      <w:u w:val="single"/>
    </w:rPr>
  </w:style>
  <w:style w:customStyle="1" w:styleId="berschrift6Zchn" w:type="character">
    <w:name w:val="Überschrift 6 Zchn"/>
    <w:basedOn w:val="Absatz-Standardschriftart"/>
    <w:link w:val="berschrift6"/>
    <w:uiPriority w:val="9"/>
    <w:rsid w:val="00401562"/>
    <w:rPr>
      <w:rFonts w:cstheme="majorBidi" w:eastAsiaTheme="majorEastAsia"/>
      <w:iCs/>
      <w:color w:themeColor="text1" w:themeTint="A6" w:val="595959"/>
      <w:sz w:val="26"/>
      <w:u w:val="single"/>
    </w:rPr>
  </w:style>
  <w:style w:customStyle="1" w:styleId="berschrift7Zchn" w:type="character">
    <w:name w:val="Überschrift 7 Zchn"/>
    <w:basedOn w:val="Absatz-Standardschriftart"/>
    <w:link w:val="berschrift7"/>
    <w:uiPriority w:val="9"/>
    <w:semiHidden/>
    <w:rsid w:val="00A10FD9"/>
    <w:rPr>
      <w:rFonts w:cstheme="majorBidi" w:eastAsiaTheme="majorEastAsia"/>
      <w:color w:themeColor="text1" w:themeTint="A6" w:val="595959"/>
    </w:rPr>
  </w:style>
  <w:style w:customStyle="1" w:styleId="berschrift8Zchn" w:type="character">
    <w:name w:val="Überschrift 8 Zchn"/>
    <w:basedOn w:val="Absatz-Standardschriftart"/>
    <w:link w:val="berschrift8"/>
    <w:uiPriority w:val="9"/>
    <w:semiHidden/>
    <w:rsid w:val="00A10FD9"/>
    <w:rPr>
      <w:rFonts w:cstheme="majorBidi" w:eastAsiaTheme="majorEastAsia"/>
      <w:i/>
      <w:iCs/>
      <w:color w:themeColor="text1" w:themeTint="D8" w:val="272727"/>
    </w:rPr>
  </w:style>
  <w:style w:customStyle="1" w:styleId="berschrift9Zchn" w:type="character">
    <w:name w:val="Überschrift 9 Zchn"/>
    <w:basedOn w:val="Absatz-Standardschriftart"/>
    <w:link w:val="berschrift9"/>
    <w:uiPriority w:val="9"/>
    <w:semiHidden/>
    <w:rsid w:val="00A10FD9"/>
    <w:rPr>
      <w:rFonts w:cstheme="majorBidi" w:eastAsiaTheme="majorEastAsia"/>
      <w:color w:themeColor="text1" w:themeTint="D8" w:val="272727"/>
    </w:rPr>
  </w:style>
  <w:style w:styleId="Blocktext" w:type="paragraph">
    <w:name w:val="Block Text"/>
    <w:basedOn w:val="Zitat"/>
    <w:next w:val="Textkrper"/>
    <w:uiPriority w:val="9"/>
    <w:unhideWhenUsed/>
    <w:qFormat/>
    <w:pPr>
      <w:spacing w:after="100" w:before="100"/>
      <w:ind w:left="480" w:right="480"/>
    </w:pPr>
  </w:style>
  <w:style w:styleId="Funotentext" w:type="paragraph">
    <w:name w:val="footnote text"/>
    <w:basedOn w:val="Standard"/>
    <w:uiPriority w:val="9"/>
    <w:unhideWhenUsed/>
    <w:qFormat/>
  </w:style>
  <w:style w:customStyle="1" w:styleId="FootnoteBlockText" w:type="paragraph">
    <w:name w:val="Footnote Block Text"/>
    <w:basedOn w:val="Funotentext"/>
    <w:next w:val="Funotentext"/>
    <w:uiPriority w:val="9"/>
    <w:unhideWhenUsed/>
    <w:qFormat/>
    <w:pPr>
      <w:spacing w:after="100" w:before="100"/>
      <w:ind w:left="480" w:right="480"/>
    </w:pPr>
  </w:style>
  <w:style w:customStyle="1" w:styleId="Table" w:type="table">
    <w:name w:val="Table"/>
    <w:basedOn w:val="Listentabelle3"/>
    <w:semiHidden/>
    <w:unhideWhenUsed/>
    <w:qFormat/>
    <w:rsid w:val="00126B8D"/>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tblStylePr w:type="firstRow">
      <w:rPr>
        <w:b/>
        <w:bCs/>
        <w:color w:themeColor="text1" w:val="000000"/>
      </w:rPr>
      <w:tblPr/>
      <w:tcPr>
        <w:shd w:color="auto" w:fill="E8E8E8" w:themeFill="background2" w:val="clear"/>
      </w:tcPr>
    </w:tblStylePr>
    <w:tblStylePr w:type="lastRow">
      <w:rPr>
        <w:b/>
        <w:bCs/>
      </w:rPr>
      <w:tblPr/>
      <w:tcPr>
        <w:tcBorders>
          <w:top w:color="000000" w:space="0" w:sz="4" w:themeColor="text1" w:val="double"/>
        </w:tcBorders>
        <w:shd w:color="auto" w:fill="FFFFFF" w:themeFill="background1" w:val="clear"/>
      </w:tcPr>
    </w:tblStylePr>
    <w:tblStylePr w:type="firstCol">
      <w:rPr>
        <w:b/>
        <w:bCs/>
      </w:rPr>
      <w:tblPr/>
      <w:tcPr>
        <w:tcBorders>
          <w:right w:val="nil"/>
        </w:tcBorders>
        <w:shd w:color="auto" w:fill="FFFFFF" w:themeFill="background1" w:val="clear"/>
      </w:tcPr>
    </w:tblStylePr>
    <w:tblStylePr w:type="lastCol">
      <w:rPr>
        <w:b/>
        <w:bCs/>
      </w:rPr>
      <w:tblPr/>
      <w:tcPr>
        <w:tcBorders>
          <w:left w:val="nil"/>
        </w:tcBorders>
        <w:shd w:color="auto" w:fill="FFFFFF" w:themeFill="background1" w:val="clear"/>
      </w:tcPr>
    </w:tblStylePr>
    <w:tblStylePr w:type="band1Vert">
      <w:tblPr/>
      <w:tcPr>
        <w:tcBorders>
          <w:left w:color="000000" w:space="0" w:sz="4" w:themeColor="text1" w:val="single"/>
          <w:right w:color="000000" w:space="0" w:sz="4" w:themeColor="text1" w:val="single"/>
        </w:tcBorders>
      </w:tcPr>
    </w:tblStylePr>
    <w:tblStylePr w:type="band1Horz">
      <w:tblPr/>
      <w:tcPr>
        <w:tcBorders>
          <w:top w:color="000000" w:space="0" w:sz="4" w:themeColor="text1" w:val="single"/>
          <w:bottom w:color="000000" w:space="0" w:sz="4" w:themeColor="text1" w:val="singl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color="000000" w:space="0" w:sz="4" w:themeColor="text1" w:val="double"/>
          <w:left w:val="nil"/>
        </w:tcBorders>
      </w:tcPr>
    </w:tblStylePr>
    <w:tblStylePr w:type="swCell">
      <w:tblPr/>
      <w:tcPr>
        <w:tcBorders>
          <w:top w:color="000000" w:space="0" w:sz="4" w:themeColor="text1" w:val="double"/>
          <w:right w:val="nil"/>
        </w:tcBorders>
      </w:tcPr>
    </w:tblStylePr>
  </w:style>
  <w:style w:customStyle="1" w:styleId="DefinitionTerm" w:type="paragraph">
    <w:name w:val="Definition Term"/>
    <w:basedOn w:val="Standard"/>
    <w:next w:val="Definition"/>
    <w:pPr>
      <w:keepNext/>
      <w:keepLines/>
      <w:spacing w:after="0"/>
    </w:pPr>
    <w:rPr>
      <w:b/>
    </w:rPr>
  </w:style>
  <w:style w:customStyle="1" w:styleId="Definition" w:type="paragraph">
    <w:name w:val="Definition"/>
    <w:basedOn w:val="Standard"/>
    <w:rsid w:val="00401562"/>
    <w:pPr>
      <w:ind w:left="720"/>
    </w:pPr>
  </w:style>
  <w:style w:styleId="Beschriftung" w:type="paragraph">
    <w:name w:val="caption"/>
    <w:basedOn w:val="Standard"/>
    <w:link w:val="BeschriftungZchn"/>
    <w:pPr>
      <w:spacing w:after="120"/>
    </w:pPr>
    <w:rPr>
      <w:i/>
    </w:rPr>
  </w:style>
  <w:style w:customStyle="1" w:styleId="TableCaption" w:type="paragraph">
    <w:name w:val="Table Caption"/>
    <w:basedOn w:val="Beschriftung"/>
    <w:pPr>
      <w:keepNext/>
    </w:pPr>
  </w:style>
  <w:style w:customStyle="1" w:styleId="ImageCaption" w:type="paragraph">
    <w:name w:val="Image Caption"/>
    <w:basedOn w:val="Beschriftung"/>
  </w:style>
  <w:style w:customStyle="1" w:styleId="Figure" w:type="paragraph">
    <w:name w:val="Figure"/>
    <w:basedOn w:val="Standard"/>
  </w:style>
  <w:style w:customStyle="1" w:styleId="CaptionedFigure" w:type="paragraph">
    <w:name w:val="Captioned Figure"/>
    <w:basedOn w:val="Figure"/>
    <w:pPr>
      <w:keepNext/>
    </w:pPr>
  </w:style>
  <w:style w:customStyle="1" w:styleId="BeschriftungZchn" w:type="character">
    <w:name w:val="Beschriftung Zchn"/>
    <w:basedOn w:val="Absatz-Standardschriftart"/>
    <w:link w:val="Beschriftung"/>
  </w:style>
  <w:style w:customStyle="1" w:styleId="VerbatimChar" w:type="character">
    <w:name w:val="Verbatim Char"/>
    <w:basedOn w:val="BeschriftungZchn"/>
    <w:rPr>
      <w:rFonts w:ascii="Consolas" w:hAnsi="Consolas"/>
      <w:sz w:val="22"/>
    </w:rPr>
  </w:style>
  <w:style w:customStyle="1" w:styleId="SectionNumber" w:type="character">
    <w:name w:val="Section Number"/>
    <w:basedOn w:val="BeschriftungZchn"/>
  </w:style>
  <w:style w:styleId="Funotenzeichen" w:type="character">
    <w:name w:val="footnote reference"/>
    <w:basedOn w:val="BeschriftungZchn"/>
    <w:rPr>
      <w:vertAlign w:val="superscript"/>
    </w:rPr>
  </w:style>
  <w:style w:styleId="Hyperlink" w:type="character">
    <w:name w:val="Hyperlink"/>
    <w:basedOn w:val="BeschriftungZchn"/>
    <w:rPr>
      <w:color w:themeColor="accent1" w:val="156082"/>
    </w:rPr>
  </w:style>
  <w:style w:styleId="Inhaltsverzeichnisberschrift" w:type="paragraph">
    <w:name w:val="TOC Heading"/>
    <w:basedOn w:val="berschrift1"/>
    <w:next w:val="Textkrper"/>
    <w:uiPriority w:val="39"/>
    <w:unhideWhenUsed/>
    <w:qFormat/>
    <w:pPr>
      <w:spacing w:before="240" w:line="259" w:lineRule="auto"/>
      <w:outlineLvl w:val="9"/>
    </w:pPr>
  </w:style>
  <w:style w:styleId="Listentabelle3" w:type="table">
    <w:name w:val="List Table 3"/>
    <w:basedOn w:val="NormaleTabelle"/>
    <w:uiPriority w:val="48"/>
    <w:rsid w:val="00BD04E8"/>
    <w:pPr>
      <w:spacing w:after="0"/>
    </w:pPr>
    <w:tblPr>
      <w:tblStyleRowBandSize w:val="1"/>
      <w:tblStyleColBandSize w:val="1"/>
      <w:tblBorders>
        <w:top w:color="000000" w:space="0" w:sz="4" w:themeColor="text1" w:val="single"/>
        <w:left w:color="000000" w:space="0" w:sz="4" w:themeColor="text1" w:val="single"/>
        <w:bottom w:color="000000" w:space="0" w:sz="4" w:themeColor="text1" w:val="single"/>
        <w:right w:color="000000" w:space="0" w:sz="4" w:themeColor="text1" w:val="single"/>
      </w:tblBorders>
    </w:tblPr>
    <w:tblStylePr w:type="firstRow">
      <w:rPr>
        <w:b/>
        <w:bCs/>
        <w:color w:themeColor="background1" w:val="FFFFFF"/>
      </w:rPr>
      <w:tblPr/>
      <w:tcPr>
        <w:shd w:color="auto" w:fill="000000" w:themeFill="text1" w:val="clear"/>
      </w:tcPr>
    </w:tblStylePr>
    <w:tblStylePr w:type="lastRow">
      <w:rPr>
        <w:b/>
        <w:bCs/>
      </w:rPr>
      <w:tblPr/>
      <w:tcPr>
        <w:tcBorders>
          <w:top w:color="000000" w:space="0" w:sz="4" w:themeColor="text1" w:val="double"/>
        </w:tcBorders>
        <w:shd w:color="auto" w:fill="FFFFFF" w:themeFill="background1" w:val="clear"/>
      </w:tcPr>
    </w:tblStylePr>
    <w:tblStylePr w:type="firstCol">
      <w:rPr>
        <w:b/>
        <w:bCs/>
      </w:rPr>
      <w:tblPr/>
      <w:tcPr>
        <w:tcBorders>
          <w:right w:val="nil"/>
        </w:tcBorders>
        <w:shd w:color="auto" w:fill="FFFFFF" w:themeFill="background1" w:val="clear"/>
      </w:tcPr>
    </w:tblStylePr>
    <w:tblStylePr w:type="lastCol">
      <w:rPr>
        <w:b/>
        <w:bCs/>
      </w:rPr>
      <w:tblPr/>
      <w:tcPr>
        <w:tcBorders>
          <w:left w:val="nil"/>
        </w:tcBorders>
        <w:shd w:color="auto" w:fill="FFFFFF" w:themeFill="background1" w:val="clear"/>
      </w:tcPr>
    </w:tblStylePr>
    <w:tblStylePr w:type="band1Vert">
      <w:tblPr/>
      <w:tcPr>
        <w:tcBorders>
          <w:left w:color="000000" w:space="0" w:sz="4" w:themeColor="text1" w:val="single"/>
          <w:right w:color="000000" w:space="0" w:sz="4" w:themeColor="text1" w:val="single"/>
        </w:tcBorders>
      </w:tcPr>
    </w:tblStylePr>
    <w:tblStylePr w:type="band1Horz">
      <w:tblPr/>
      <w:tcPr>
        <w:tcBorders>
          <w:top w:color="000000" w:space="0" w:sz="4" w:themeColor="text1" w:val="single"/>
          <w:bottom w:color="000000" w:space="0" w:sz="4" w:themeColor="text1" w:val="singl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color="000000" w:space="0" w:sz="4" w:themeColor="text1" w:val="double"/>
          <w:left w:val="nil"/>
        </w:tcBorders>
      </w:tcPr>
    </w:tblStylePr>
    <w:tblStylePr w:type="swCell">
      <w:tblPr/>
      <w:tcPr>
        <w:tcBorders>
          <w:top w:color="000000" w:space="0" w:sz="4" w:themeColor="text1" w:val="double"/>
          <w:right w:val="nil"/>
        </w:tcBorders>
      </w:tcPr>
    </w:tblStylePr>
  </w:style>
  <w:style w:styleId="Zitat" w:type="paragraph">
    <w:name w:val="Quote"/>
    <w:basedOn w:val="Standard"/>
    <w:next w:val="Standard"/>
    <w:link w:val="ZitatZchn"/>
    <w:rsid w:val="00B07C6B"/>
    <w:pPr>
      <w:spacing w:after="160" w:before="200"/>
      <w:ind w:left="864" w:right="864"/>
      <w:jc w:val="center"/>
    </w:pPr>
    <w:rPr>
      <w:i/>
      <w:iCs/>
      <w:color w:themeColor="text1" w:themeTint="BF" w:val="404040"/>
    </w:rPr>
  </w:style>
  <w:style w:customStyle="1" w:styleId="ZitatZchn" w:type="character">
    <w:name w:val="Zitat Zchn"/>
    <w:basedOn w:val="Absatz-Standardschriftart"/>
    <w:link w:val="Zitat"/>
    <w:rsid w:val="00B07C6B"/>
    <w:rPr>
      <w:i/>
      <w:iCs/>
      <w:color w:themeColor="text1" w:themeTint="BF" w:val="404040"/>
    </w:rPr>
  </w:style>
  <w:style w:styleId="Kopfzeile" w:type="paragraph">
    <w:name w:val="header"/>
    <w:basedOn w:val="Standard"/>
    <w:link w:val="KopfzeileZchn"/>
    <w:rsid w:val="00993E42"/>
    <w:pPr>
      <w:tabs>
        <w:tab w:pos="4536" w:val="center"/>
        <w:tab w:pos="9072" w:val="right"/>
      </w:tabs>
      <w:spacing w:after="0"/>
    </w:pPr>
  </w:style>
  <w:style w:customStyle="1" w:styleId="KopfzeileZchn" w:type="character">
    <w:name w:val="Kopfzeile Zchn"/>
    <w:basedOn w:val="Absatz-Standardschriftart"/>
    <w:link w:val="Kopfzeile"/>
    <w:rsid w:val="00993E42"/>
  </w:style>
  <w:style w:styleId="Fuzeile" w:type="paragraph">
    <w:name w:val="footer"/>
    <w:basedOn w:val="Standard"/>
    <w:link w:val="FuzeileZchn"/>
    <w:uiPriority w:val="99"/>
    <w:rsid w:val="00993E42"/>
    <w:pPr>
      <w:tabs>
        <w:tab w:pos="4536" w:val="center"/>
        <w:tab w:pos="9072" w:val="right"/>
      </w:tabs>
      <w:spacing w:after="0"/>
    </w:pPr>
  </w:style>
  <w:style w:customStyle="1" w:styleId="FuzeileZchn" w:type="character">
    <w:name w:val="Fußzeile Zchn"/>
    <w:basedOn w:val="Absatz-Standardschriftart"/>
    <w:link w:val="Fuzeile"/>
    <w:uiPriority w:val="99"/>
    <w:rsid w:val="00993E42"/>
  </w:style>
  <w:style w:styleId="Platzhaltertext" w:type="character">
    <w:name w:val="Placeholder Text"/>
    <w:basedOn w:val="Absatz-Standardschriftart"/>
    <w:rsid w:val="00400174"/>
    <w:rPr>
      <w:color w:val="66666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Relationships xmlns="http://schemas.openxmlformats.org/package/2006/relationships"><Relationship Type="http://schemas.openxmlformats.org/officeDocument/2006/relationships/numbering" Id="rId22" Target="numbering.xml" /><Relationship Type="http://schemas.openxmlformats.org/officeDocument/2006/relationships/styles" Id="rId21" Target="styles.xml" /><Relationship Type="http://schemas.openxmlformats.org/officeDocument/2006/relationships/settings" Id="rId20" Target="settings.xml" /><Relationship Type="http://schemas.openxmlformats.org/officeDocument/2006/relationships/webSettings" Id="rId19" Target="webSettings.xml" /><Relationship Type="http://schemas.openxmlformats.org/officeDocument/2006/relationships/fontTable" Id="rId18" Target="fontTable.xml" /><Relationship Type="http://schemas.openxmlformats.org/officeDocument/2006/relationships/theme" Id="rId17" Target="theme/theme1.xml" /><Relationship Type="http://schemas.openxmlformats.org/officeDocument/2006/relationships/footnotes" Id="rId16" Target="footnotes.xml" /><Relationship Type="http://schemas.openxmlformats.org/officeDocument/2006/relationships/comments" Id="rId15" Target="comments.xml" /><Relationship Id="rId13" Target="header3.xml" Type="http://schemas.openxmlformats.org/officeDocument/2006/relationships/header" /><Relationship Id="rId12" Target="footer2.xml" Type="http://schemas.openxmlformats.org/officeDocument/2006/relationships/footer" /><Relationship Id="rId11" Target="footer1.xml" Type="http://schemas.openxmlformats.org/officeDocument/2006/relationships/footer" /><Relationship Id="rId10" Target="header2.xml" Type="http://schemas.openxmlformats.org/officeDocument/2006/relationships/header" /><Relationship Id="rId9" Target="header1.xml" Type="http://schemas.openxmlformats.org/officeDocument/2006/relationships/header" /><Relationship Id="rId14" Target="footer3.xml" Type="http://schemas.openxmlformats.org/officeDocument/2006/relationships/footer" /><Relationship Type="http://schemas.openxmlformats.org/officeDocument/2006/relationships/image" Id="rId23" Target="media/rId23.png" /><Relationship Type="http://schemas.openxmlformats.org/officeDocument/2006/relationships/hyperlink" Id="rId26" Target="https://ceos.org/ard" TargetMode="External" /><Relationship Type="http://schemas.openxmlformats.org/officeDocument/2006/relationships/hyperlink" Id="rId262" Target="https://ceos.org/ard/files/CEOS_ARD_Governance_Framework_18-October-2021.pdf" TargetMode="External" /><Relationship Type="http://schemas.openxmlformats.org/officeDocument/2006/relationships/hyperlink" Id="rId67" Target="https://ceos.org/mim-database/" TargetMode="External" /><Relationship Type="http://schemas.openxmlformats.org/officeDocument/2006/relationships/hyperlink" Id="rId269" Target="https://doi.org/10.1029/2011JE003986" TargetMode="External" /><Relationship Type="http://schemas.openxmlformats.org/officeDocument/2006/relationships/hyperlink" Id="rId277" Target="https://doi.org/10.1109/LGRS.2017.2753580" TargetMode="External" /><Relationship Type="http://schemas.openxmlformats.org/officeDocument/2006/relationships/hyperlink" Id="rId267" Target="https://doi.org/10.1109/TGRS.2008.2002881" TargetMode="External" /><Relationship Type="http://schemas.openxmlformats.org/officeDocument/2006/relationships/hyperlink" Id="rId279" Target="https://doi.org/10.1109/TGRS.2010.2051333" TargetMode="External" /><Relationship Type="http://schemas.openxmlformats.org/officeDocument/2006/relationships/hyperlink" Id="rId275" Target="https://doi.org/10.1109/TGRS.2010.2099124" TargetMode="External" /><Relationship Type="http://schemas.openxmlformats.org/officeDocument/2006/relationships/hyperlink" Id="rId273" Target="https://doi.org/10.1109/TGRS.2011.2120616" TargetMode="External" /><Relationship Type="http://schemas.openxmlformats.org/officeDocument/2006/relationships/hyperlink" Id="rId271" Target="https://doi.org/10.1109/TGRS.2022.3147472" TargetMode="External" /><Relationship Type="http://schemas.openxmlformats.org/officeDocument/2006/relationships/hyperlink" Id="rId28" Target="mailto:ard-contact@lists.ceos.org" TargetMode="External" /></Relationships>
</file>

<file path=word/_rels/footnotes.xml.rels><?xml version="1.0" encoding="UTF-8"?><Relationships xmlns="http://schemas.openxmlformats.org/package/2006/relationships"><Relationship Type="http://schemas.openxmlformats.org/officeDocument/2006/relationships/hyperlink" Id="rId26" Target="https://ceos.org/ard" TargetMode="External" /><Relationship Type="http://schemas.openxmlformats.org/officeDocument/2006/relationships/hyperlink" Id="rId262" Target="https://ceos.org/ard/files/CEOS_ARD_Governance_Framework_18-October-2021.pdf" TargetMode="External" /><Relationship Type="http://schemas.openxmlformats.org/officeDocument/2006/relationships/hyperlink" Id="rId67" Target="https://ceos.org/mim-database/" TargetMode="External" /><Relationship Type="http://schemas.openxmlformats.org/officeDocument/2006/relationships/hyperlink" Id="rId269" Target="https://doi.org/10.1029/2011JE003986" TargetMode="External" /><Relationship Type="http://schemas.openxmlformats.org/officeDocument/2006/relationships/hyperlink" Id="rId277" Target="https://doi.org/10.1109/LGRS.2017.2753580" TargetMode="External" /><Relationship Type="http://schemas.openxmlformats.org/officeDocument/2006/relationships/hyperlink" Id="rId267" Target="https://doi.org/10.1109/TGRS.2008.2002881" TargetMode="External" /><Relationship Type="http://schemas.openxmlformats.org/officeDocument/2006/relationships/hyperlink" Id="rId279" Target="https://doi.org/10.1109/TGRS.2010.2051333" TargetMode="External" /><Relationship Type="http://schemas.openxmlformats.org/officeDocument/2006/relationships/hyperlink" Id="rId275" Target="https://doi.org/10.1109/TGRS.2010.2099124" TargetMode="External" /><Relationship Type="http://schemas.openxmlformats.org/officeDocument/2006/relationships/hyperlink" Id="rId273" Target="https://doi.org/10.1109/TGRS.2011.2120616" TargetMode="External" /><Relationship Type="http://schemas.openxmlformats.org/officeDocument/2006/relationships/hyperlink" Id="rId271" Target="https://doi.org/10.1109/TGRS.2022.3147472" TargetMode="External" /><Relationship Type="http://schemas.openxmlformats.org/officeDocument/2006/relationships/hyperlink" Id="rId28" Target="mailto:ard-contact@lists.ceos.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58</Words>
  <Characters>367</Characters>
  <Application>Microsoft Office Word</Application>
  <DocSecurity>0</DocSecurity>
  <Lines>3</Lines>
  <Paragraphs>1</Paragraphs>
  <ScaleCrop>false</ScaleCrop>
  <HeadingPairs>
    <vt:vector size="2" baseType="variant">
      <vt:variant>
        <vt:lpstr>Titel</vt:lpstr>
      </vt:variant>
      <vt:variant>
        <vt:i4>1</vt:i4>
      </vt:variant>
    </vt:vector>
  </HeadingPairs>
  <TitlesOfParts>
    <vt:vector size="1" baseType="lpstr">
      <vt:lpstr>Title</vt:lpstr>
    </vt:vector>
  </TitlesOfParts>
  <Company/>
  <LinksUpToDate>false</LinksUpToDate>
  <CharactersWithSpaces>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CEOS-ARD - Synthetic Aperture Radar - Normalised Radar Backscatter - Version 1.1.0-draft</dc:title>
  <dc:creator/>
  <dc:language>en</dc:language>
  <cp:keywords/>
  <dcterms:created xsi:type="dcterms:W3CDTF">2026-07-17T17:03:49Z</dcterms:created>
  <dcterms:modified xsi:type="dcterms:W3CDTF">2026-07-17T17:03:49Z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oEqnLabels">
    <vt:lpwstr>False</vt:lpwstr>
  </property>
  <property fmtid="{D5CDD505-2E9C-101B-9397-08002B2CF9AE}" pid="3" name="autoSectionLabels">
    <vt:lpwstr>False</vt:lpwstr>
  </property>
  <property fmtid="{D5CDD505-2E9C-101B-9397-08002B2CF9AE}" pid="4" name="bibliography">
    <vt:lpwstr>/home/runner/work/ceos-ard/ceos-ard/build/NRB.bib</vt:lpwstr>
  </property>
  <property fmtid="{D5CDD505-2E9C-101B-9397-08002B2CF9AE}" pid="5" name="ccsDelim">
    <vt:lpwstr>, </vt:lpwstr>
  </property>
  <property fmtid="{D5CDD505-2E9C-101B-9397-08002B2CF9AE}" pid="6" name="ccsLabelSep">
    <vt:lpwstr> — </vt:lpwstr>
  </property>
  <property fmtid="{D5CDD505-2E9C-101B-9397-08002B2CF9AE}" pid="7" name="ccsTemplate">
    <vt:lpwstr>iccsLabelSept</vt:lpwstr>
  </property>
  <property fmtid="{D5CDD505-2E9C-101B-9397-08002B2CF9AE}" pid="8" name="chapDelim">
    <vt:lpwstr>.</vt:lpwstr>
  </property>
  <property fmtid="{D5CDD505-2E9C-101B-9397-08002B2CF9AE}" pid="9" name="chapters">
    <vt:lpwstr>False</vt:lpwstr>
  </property>
  <property fmtid="{D5CDD505-2E9C-101B-9397-08002B2CF9AE}" pid="10" name="chaptersDepth">
    <vt:lpwstr>1</vt:lpwstr>
  </property>
  <property fmtid="{D5CDD505-2E9C-101B-9397-08002B2CF9AE}" pid="11" name="codeBlockCaptions">
    <vt:lpwstr>False</vt:lpwstr>
  </property>
  <property fmtid="{D5CDD505-2E9C-101B-9397-08002B2CF9AE}" pid="12" name="cref">
    <vt:lpwstr>False</vt:lpwstr>
  </property>
  <property fmtid="{D5CDD505-2E9C-101B-9397-08002B2CF9AE}" pid="13" name="crossrefYaml">
    <vt:lpwstr>pandoc-crossref.yaml</vt:lpwstr>
  </property>
  <property fmtid="{D5CDD505-2E9C-101B-9397-08002B2CF9AE}" pid="14" name="eqLabels">
    <vt:lpwstr>arabic</vt:lpwstr>
  </property>
  <property fmtid="{D5CDD505-2E9C-101B-9397-08002B2CF9AE}" pid="15" name="eqnBlockInlineMath">
    <vt:lpwstr>False</vt:lpwstr>
  </property>
  <property fmtid="{D5CDD505-2E9C-101B-9397-08002B2CF9AE}" pid="16" name="eqnBlockTemplate">
    <vt:lpwstr>ti</vt:lpwstr>
  </property>
  <property fmtid="{D5CDD505-2E9C-101B-9397-08002B2CF9AE}" pid="17" name="eqnDisplayTemplate">
    <vt:lpwstr>e</vt:lpwstr>
  </property>
  <property fmtid="{D5CDD505-2E9C-101B-9397-08002B2CF9AE}" pid="18" name="eqnIndexTemplate">
    <vt:lpwstr>(i)</vt:lpwstr>
  </property>
  <property fmtid="{D5CDD505-2E9C-101B-9397-08002B2CF9AE}" pid="19" name="eqnInlineTableTemplate">
    <vt:lpwstr>e</vt:lpwstr>
  </property>
  <property fmtid="{D5CDD505-2E9C-101B-9397-08002B2CF9AE}" pid="20" name="eqnInlineTemplate">
    <vt:lpwstr>eequationNumberTeX{i}</vt:lpwstr>
  </property>
  <property fmtid="{D5CDD505-2E9C-101B-9397-08002B2CF9AE}" pid="21" name="eqnPrefix">
    <vt:lpwstr>Eq.</vt:lpwstr>
  </property>
  <property fmtid="{D5CDD505-2E9C-101B-9397-08002B2CF9AE}" pid="22" name="eqnPrefixTemplate">
    <vt:lpwstr>p i</vt:lpwstr>
  </property>
  <property fmtid="{D5CDD505-2E9C-101B-9397-08002B2CF9AE}" pid="23" name="equationNumberTeX">
    <vt:lpwstr>\qquad</vt:lpwstr>
  </property>
  <property fmtid="{D5CDD505-2E9C-101B-9397-08002B2CF9AE}" pid="24" name="figLabels">
    <vt:lpwstr>arabic</vt:lpwstr>
  </property>
  <property fmtid="{D5CDD505-2E9C-101B-9397-08002B2CF9AE}" pid="25" name="figPrefix">
    <vt:lpwstr/>
  </property>
  <property fmtid="{D5CDD505-2E9C-101B-9397-08002B2CF9AE}" pid="26" name="figPrefixTemplate">
    <vt:lpwstr>p i</vt:lpwstr>
  </property>
  <property fmtid="{D5CDD505-2E9C-101B-9397-08002B2CF9AE}" pid="27" name="figureTemplate">
    <vt:lpwstr>figureTitle ititleDelim t</vt:lpwstr>
  </property>
  <property fmtid="{D5CDD505-2E9C-101B-9397-08002B2CF9AE}" pid="28" name="figureTitle">
    <vt:lpwstr>Figure</vt:lpwstr>
  </property>
  <property fmtid="{D5CDD505-2E9C-101B-9397-08002B2CF9AE}" pid="29" name="format">
    <vt:lpwstr/>
  </property>
  <property fmtid="{D5CDD505-2E9C-101B-9397-08002B2CF9AE}" pid="30" name="lastDelim">
    <vt:lpwstr>, </vt:lpwstr>
  </property>
  <property fmtid="{D5CDD505-2E9C-101B-9397-08002B2CF9AE}" pid="31" name="link-citations">
    <vt:lpwstr>True</vt:lpwstr>
  </property>
  <property fmtid="{D5CDD505-2E9C-101B-9397-08002B2CF9AE}" pid="32" name="linkReferences">
    <vt:lpwstr>True</vt:lpwstr>
  </property>
  <property fmtid="{D5CDD505-2E9C-101B-9397-08002B2CF9AE}" pid="33" name="listItemTitleDelim">
    <vt:lpwstr>.</vt:lpwstr>
  </property>
  <property fmtid="{D5CDD505-2E9C-101B-9397-08002B2CF9AE}" pid="34" name="listOfMetadata">
    <vt:lpwstr>False</vt:lpwstr>
  </property>
  <property fmtid="{D5CDD505-2E9C-101B-9397-08002B2CF9AE}" pid="35" name="listingTemplate">
    <vt:lpwstr>listingTitle ititleDelim t</vt:lpwstr>
  </property>
  <property fmtid="{D5CDD505-2E9C-101B-9397-08002B2CF9AE}" pid="36" name="listingTitle">
    <vt:lpwstr>Listing</vt:lpwstr>
  </property>
  <property fmtid="{D5CDD505-2E9C-101B-9397-08002B2CF9AE}" pid="37" name="listings">
    <vt:lpwstr>False</vt:lpwstr>
  </property>
  <property fmtid="{D5CDD505-2E9C-101B-9397-08002B2CF9AE}" pid="38" name="lofItemTemplate">
    <vt:lpwstr>lofItemTitleilistItemTitleDelimt </vt:lpwstr>
  </property>
  <property fmtid="{D5CDD505-2E9C-101B-9397-08002B2CF9AE}" pid="39" name="lofItemTitle">
    <vt:lpwstr/>
  </property>
  <property fmtid="{D5CDD505-2E9C-101B-9397-08002B2CF9AE}" pid="40" name="lofTitle">
    <vt:lpwstr>List of Figures</vt:lpwstr>
  </property>
  <property fmtid="{D5CDD505-2E9C-101B-9397-08002B2CF9AE}" pid="41" name="lolItemTemplate">
    <vt:lpwstr>lolItemTitleilistItemTitleDelimt </vt:lpwstr>
  </property>
  <property fmtid="{D5CDD505-2E9C-101B-9397-08002B2CF9AE}" pid="42" name="lolItemTitle">
    <vt:lpwstr/>
  </property>
  <property fmtid="{D5CDD505-2E9C-101B-9397-08002B2CF9AE}" pid="43" name="lolTitle">
    <vt:lpwstr>List of Listings</vt:lpwstr>
  </property>
  <property fmtid="{D5CDD505-2E9C-101B-9397-08002B2CF9AE}" pid="44" name="lotItemTemplate">
    <vt:lpwstr>lotItemTitleilistItemTitleDelimt </vt:lpwstr>
  </property>
  <property fmtid="{D5CDD505-2E9C-101B-9397-08002B2CF9AE}" pid="45" name="lotItemTitle">
    <vt:lpwstr/>
  </property>
  <property fmtid="{D5CDD505-2E9C-101B-9397-08002B2CF9AE}" pid="46" name="lotTitle">
    <vt:lpwstr>List of Tables</vt:lpwstr>
  </property>
  <property fmtid="{D5CDD505-2E9C-101B-9397-08002B2CF9AE}" pid="47" name="lstLabels">
    <vt:lpwstr>arabic</vt:lpwstr>
  </property>
  <property fmtid="{D5CDD505-2E9C-101B-9397-08002B2CF9AE}" pid="48" name="lstPrefix">
    <vt:lpwstr/>
  </property>
  <property fmtid="{D5CDD505-2E9C-101B-9397-08002B2CF9AE}" pid="49" name="lstPrefixTemplate">
    <vt:lpwstr>p i</vt:lpwstr>
  </property>
  <property fmtid="{D5CDD505-2E9C-101B-9397-08002B2CF9AE}" pid="50" name="nameInLink">
    <vt:lpwstr>False</vt:lpwstr>
  </property>
  <property fmtid="{D5CDD505-2E9C-101B-9397-08002B2CF9AE}" pid="51" name="nocite">
    <vt:lpwstr>@*</vt:lpwstr>
  </property>
  <property fmtid="{D5CDD505-2E9C-101B-9397-08002B2CF9AE}" pid="52" name="numberSections">
    <vt:lpwstr>False</vt:lpwstr>
  </property>
  <property fmtid="{D5CDD505-2E9C-101B-9397-08002B2CF9AE}" pid="53" name="pairDelim">
    <vt:lpwstr>, </vt:lpwstr>
  </property>
  <property fmtid="{D5CDD505-2E9C-101B-9397-08002B2CF9AE}" pid="54" name="rangeDelim">
    <vt:lpwstr>-</vt:lpwstr>
  </property>
  <property fmtid="{D5CDD505-2E9C-101B-9397-08002B2CF9AE}" pid="55" name="refDelim">
    <vt:lpwstr>, </vt:lpwstr>
  </property>
  <property fmtid="{D5CDD505-2E9C-101B-9397-08002B2CF9AE}" pid="56" name="refIndexTemplate">
    <vt:lpwstr>isuf</vt:lpwstr>
  </property>
  <property fmtid="{D5CDD505-2E9C-101B-9397-08002B2CF9AE}" pid="57" name="secHeaderDelim">
    <vt:lpwstr> </vt:lpwstr>
  </property>
  <property fmtid="{D5CDD505-2E9C-101B-9397-08002B2CF9AE}" pid="58" name="secHeaderTemplate">
    <vt:lpwstr>isecHeaderDelim[n]t</vt:lpwstr>
  </property>
  <property fmtid="{D5CDD505-2E9C-101B-9397-08002B2CF9AE}" pid="59" name="secLabels">
    <vt:lpwstr>arabic</vt:lpwstr>
  </property>
  <property fmtid="{D5CDD505-2E9C-101B-9397-08002B2CF9AE}" pid="60" name="secPrefix">
    <vt:lpwstr/>
  </property>
  <property fmtid="{D5CDD505-2E9C-101B-9397-08002B2CF9AE}" pid="61" name="secPrefixTemplate">
    <vt:lpwstr>p “i”</vt:lpwstr>
  </property>
  <property fmtid="{D5CDD505-2E9C-101B-9397-08002B2CF9AE}" pid="62" name="sectionsDepth">
    <vt:lpwstr>0</vt:lpwstr>
  </property>
  <property fmtid="{D5CDD505-2E9C-101B-9397-08002B2CF9AE}" pid="63" name="subfigGrid">
    <vt:lpwstr>False</vt:lpwstr>
  </property>
  <property fmtid="{D5CDD505-2E9C-101B-9397-08002B2CF9AE}" pid="64" name="subfigLabels">
    <vt:lpwstr>alpha a</vt:lpwstr>
  </property>
  <property fmtid="{D5CDD505-2E9C-101B-9397-08002B2CF9AE}" pid="65" name="subfigureChildTemplate">
    <vt:lpwstr>i</vt:lpwstr>
  </property>
  <property fmtid="{D5CDD505-2E9C-101B-9397-08002B2CF9AE}" pid="66" name="subfigureRefIndexTemplate">
    <vt:lpwstr>isuf (s)</vt:lpwstr>
  </property>
  <property fmtid="{D5CDD505-2E9C-101B-9397-08002B2CF9AE}" pid="67" name="subfigureTemplate">
    <vt:lpwstr>figureTitle ititleDelim t. ccs</vt:lpwstr>
  </property>
  <property fmtid="{D5CDD505-2E9C-101B-9397-08002B2CF9AE}" pid="68" name="tableEqns">
    <vt:lpwstr>False</vt:lpwstr>
  </property>
  <property fmtid="{D5CDD505-2E9C-101B-9397-08002B2CF9AE}" pid="69" name="tableTemplate">
    <vt:lpwstr>tableTitle ititleDelim t</vt:lpwstr>
  </property>
  <property fmtid="{D5CDD505-2E9C-101B-9397-08002B2CF9AE}" pid="70" name="tableTitle">
    <vt:lpwstr>Table</vt:lpwstr>
  </property>
  <property fmtid="{D5CDD505-2E9C-101B-9397-08002B2CF9AE}" pid="71" name="tblLabels">
    <vt:lpwstr>arabic</vt:lpwstr>
  </property>
  <property fmtid="{D5CDD505-2E9C-101B-9397-08002B2CF9AE}" pid="72" name="tblPrefix">
    <vt:lpwstr/>
  </property>
  <property fmtid="{D5CDD505-2E9C-101B-9397-08002B2CF9AE}" pid="73" name="tblPrefixTemplate">
    <vt:lpwstr>p i</vt:lpwstr>
  </property>
  <property fmtid="{D5CDD505-2E9C-101B-9397-08002B2CF9AE}" pid="74" name="titleDelim">
    <vt:lpwstr>:</vt:lpwstr>
  </property>
</Properties>
</file>