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25.jpg" ContentType="image/jpeg"/>
  <Override PartName="/word/media/rId3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31" w:name="X585353d8aec71e32101508c22c1e4e52b36bb22"/>
    <w:p>
      <w:pPr>
        <w:pStyle w:val="berschrift1"/>
      </w:pPr>
      <w:r>
        <w:t xml:space="preserve">CEOS-ARD - Synthetic Aperture Radar - Polarimetric Radar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Polarimetric Radar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patch"/>
    <w:p>
      <w:pPr>
        <w:pStyle w:val="berschrift3"/>
      </w:pPr>
      <w:r>
        <w:t xml:space="preserve">2026-03-26 (PATCH)</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“Cloud optimized file formats are recommended.”</w:t>
      </w:r>
      <w:r>
        <w:t xml:space="preserve"> </w:t>
      </w:r>
      <w:r>
        <w:t xml:space="preserve">has been moved from the category description to a separate requirement.</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Requirement</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Annex has been reformatted and updated as required by the split</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w:t>
        </w:r>
      </w:hyperlink>
      <w:r>
        <w:t xml:space="preserve"> </w:t>
      </w:r>
      <w:r>
        <w:t xml:space="preserve">for product type</w:t>
      </w:r>
      <w:r>
        <w:t xml:space="preserve"> </w:t>
      </w:r>
      <w:r>
        <w:t xml:space="preserve">“POL”</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P.V. Jayasri, ISRO, India</w:t>
      </w:r>
    </w:p>
    <w:p>
      <w:pPr>
        <w:pStyle w:val="Compact"/>
        <w:numPr>
          <w:ilvl w:val="0"/>
          <w:numId w:val="1002"/>
        </w:numPr>
      </w:pPr>
      <w:r>
        <w:t xml:space="preserve">Josef Kellndorfer, Earth Big Data,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Polarimetric Radar (POL)</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Polarimetric Radar (POL) product format is an extension of the CEOS-ARD Normalised Radar Backscatter (NRB) format.</w:t>
      </w:r>
      <w:r>
        <w:t xml:space="preserve"> </w:t>
      </w:r>
      <w:r>
        <w:t xml:space="preserve">This extension is required in order to better support Level-1 SLC polarimetric data, including full-polarimetric modes (e.g., RADARSAT-2, ALOS-2/4, SAOCOM-1 and future missions), and hybrid or linear dual-polarimetric modes (i.e., Compact Polarimetric mode available on RCM, SAOCOM and the upcoming NISAR mission).The POL product can be defined in two processing levels:</w:t>
      </w:r>
    </w:p>
    <w:p>
      <w:pPr>
        <w:pStyle w:val="Textkrper"/>
      </w:pPr>
      <w:r>
        <w:t xml:space="preserve">The</w:t>
      </w:r>
      <w:r>
        <w:t xml:space="preserve"> </w:t>
      </w:r>
      <w:r>
        <w:rPr>
          <w:b/>
          <w:bCs/>
        </w:rPr>
        <w:t xml:space="preserve">normalised covariance matrix (CovMat)</w:t>
      </w:r>
      <w:r>
        <w:t xml:space="preserve"> </w:t>
      </w:r>
      <w:r>
        <w:t xml:space="preserve">representation (C2 or C3) which preserves the inter-channel polarimetric phase(s) and maximizes the available information for users.</w:t>
      </w:r>
      <w:r>
        <w:t xml:space="preserve"> </w:t>
      </w:r>
      <w:r>
        <w:t xml:space="preserve">Interoperability within current CEOS-ARD SAR backscatter definition is preserved, since diagonal elements of the covariance matrix are backscatter intensities.</w:t>
      </w:r>
      <w:r>
        <w:t xml:space="preserve"> </w:t>
      </w:r>
      <w:r>
        <w:t xml:space="preserve">Scattering information enhancement can be achieved by applying incoherent polarimetric decomposition techniques (e.g., Freeman-Durden, van Zyl, Cloude-Pottier, Yamaguchi-based) directly on the C2 or C3 matrix.</w:t>
      </w:r>
    </w:p>
    <w:p>
      <w:pPr>
        <w:pStyle w:val="Textkrper"/>
      </w:pPr>
      <w:r>
        <w:rPr>
          <w:b/>
          <w:bCs/>
        </w:rPr>
        <w:t xml:space="preserve">Polarimetric Radar Decomposition (PRD)</w:t>
      </w:r>
      <w:r>
        <w:t xml:space="preserve"> </w:t>
      </w:r>
      <w:r>
        <w:t xml:space="preserve">refers to ARD products where polarimetric information is broken down into simplified parameters to facilitate user interpretation of the data.</w:t>
      </w:r>
      <w:r>
        <w:t xml:space="preserve"> </w:t>
      </w:r>
      <w:r>
        <w:t xml:space="preserve">They are derived from coherent or incoherent polarimetric decomposition techniques.</w:t>
      </w:r>
    </w:p>
    <w:p>
      <w:pPr>
        <w:pStyle w:val="Textkrper"/>
      </w:pPr>
      <w:r>
        <w:rPr>
          <w:b/>
          <w:bCs/>
          <w:i/>
          <w:iCs/>
        </w:rPr>
        <w:t xml:space="preserve">Notice and Limitations:</w:t>
      </w:r>
    </w:p>
    <w:p>
      <w:pPr>
        <w:pStyle w:val="Textkrper"/>
      </w:pPr>
      <w:r>
        <w:t xml:space="preserve">For Polarimetric Radar (POL) products, optimal incoherent Polarimetric Radar Decomposition (PRD) should be performed under the slant range projection</w:t>
      </w:r>
      <w:r>
        <w:t xml:space="preserve"> </w:t>
      </w:r>
      <w:r>
        <w:t xml:space="preserve">(</w:t>
      </w:r>
      <w:hyperlink w:anchor="ref-gens2013">
        <w:r>
          <w:rPr>
            <w:rStyle w:val="Hyperlink"/>
          </w:rPr>
          <w:t xml:space="preserve">Gens et al. 2013</w:t>
        </w:r>
      </w:hyperlink>
      <w:r>
        <w:t xml:space="preserve">;</w:t>
      </w:r>
      <w:r>
        <w:t xml:space="preserve"> </w:t>
      </w:r>
      <w:hyperlink w:anchor="ref-toutin2013">
        <w:r>
          <w:rPr>
            <w:rStyle w:val="Hyperlink"/>
          </w:rPr>
          <w:t xml:space="preserve">Toutin et al. 2013</w:t>
        </w:r>
      </w:hyperlink>
      <w:r>
        <w:t xml:space="preserve">)</w:t>
      </w:r>
      <w:r>
        <w:t xml:space="preserve">.</w:t>
      </w:r>
      <w:r>
        <w:t xml:space="preserve"> </w:t>
      </w:r>
      <w:r>
        <w:t xml:space="preserve">In order to minimise bias in the CEOS-ARD SAR Level-2A covariance matrix product, speckle filtering and averaging of the covariance matrix should be applied in the slant range projection, and geocoding should be performed using nearest-neighbour resampling.</w:t>
      </w:r>
      <w:r>
        <w:t xml:space="preserve"> </w:t>
      </w:r>
      <w:r>
        <w:t xml:space="preserve">Specifically, nearest-neighbour resampling ensures that the averaged covariance matrix elements in slant range and in geocoded ground projection are exactly the same.</w:t>
      </w:r>
      <w:r>
        <w:t xml:space="preserve"> </w:t>
      </w:r>
      <w:r>
        <w:t xml:space="preserve">Consequently, the polarimetrically derived parameters are exactly equal in both approaches (assuming that no further averaging is performed on the ARD product for decomposing the polarimetric information).</w:t>
      </w:r>
      <w:r>
        <w:t xml:space="preserve"> </w:t>
      </w:r>
      <w:r>
        <w:t xml:space="preserve">Bilinear and average resampling methods are also suitable for resampling the covariance matrix, but some differences with polarimetric parameters generated in slant range and then resampled (bilinear) might be observed on sloped terrains.</w:t>
      </w:r>
      <w:r>
        <w:t xml:space="preserve"> </w:t>
      </w:r>
      <w:r>
        <w:t xml:space="preserve">Even if Sinc interpolation may be more robust for spatial resampling, it does not preserve covariance matrix integrity, and should consequently not be used for this ARD product.</w:t>
      </w:r>
    </w:p>
    <w:p>
      <w:pPr>
        <w:pStyle w:val="Textkrper"/>
      </w:pPr>
      <w:r>
        <w:t xml:space="preserve">It is recommended that ARD providers who desire to distribute PRD products decompose the polarimetric information starting from Level-1 SLC data and then geocode the derived parameters rather than use the CovMat ARD product.</w:t>
      </w:r>
      <w:r>
        <w:t xml:space="preserve"> </w:t>
      </w:r>
      <w:r>
        <w:t xml:space="preserve">Resampling can be performed using any of the supported methods (nearest-neighbour, bilinear, average, bi-cubic spline or Lanczos are recommended), which need to be indicated in the product metadata.</w:t>
      </w:r>
      <w:r>
        <w:t xml:space="preserve"> </w:t>
      </w:r>
      <w:r>
        <w:t xml:space="preserve">Note that coherent decomposition techniques cannot be performed on CovMat ARD products.</w:t>
      </w:r>
    </w:p>
    <w:p>
      <w:pPr>
        <w:pStyle w:val="Textkrper"/>
      </w:pPr>
      <w:r>
        <w:t xml:space="preserve">Covariance matrix products contain a variable number of layers (or bands) with different data types depending on the polarimetric mode (full or dual) and decomposition technique.</w:t>
      </w:r>
      <w:r>
        <w:t xml:space="preserve"> </w:t>
      </w:r>
      <w:r>
        <w:t xml:space="preserve">The CovMat products for the C2 matrix have 3 layers (2 real-valued diagonal elements and 1 complex-valued off-diagonal element).</w:t>
      </w:r>
      <w:r>
        <w:t xml:space="preserve"> </w:t>
      </w:r>
      <w:r>
        <w:t xml:space="preserve">CovMat products for the C3 matrix have 6 layers (3 real-valued diagonal elements and 3 complex-valued off-diagonal elements).</w:t>
      </w:r>
      <w:r>
        <w:t xml:space="preserve"> </w:t>
      </w:r>
      <w:r>
        <w:t xml:space="preserve">Layers that can be obtained via a complex conjugation of other layers are not provided within the product.</w:t>
      </w:r>
      <w:r>
        <w:t xml:space="preserve"> </w:t>
      </w:r>
      <w:r>
        <w:t xml:space="preserve">Polarimetric Decomposition products contain typically 2 to 4 (or more) real-valued layers depending on the particular decomposition algorithm.</w:t>
      </w:r>
      <w:r>
        <w:t xml:space="preserve"> </w:t>
      </w:r>
      <w:r>
        <w:t xml:space="preserve">Within the CovMat product files, ARD layers are organized in order to reduce access delays and maximize efficiency in extracting the desired information.</w:t>
      </w:r>
      <w:r>
        <w:t xml:space="preserve"> </w:t>
      </w:r>
      <w:r>
        <w:t xml:space="preserve">In CovMat products, geographically contiguous samples for each layer may be stored next to each other and organized “layer by layer”.</w:t>
      </w:r>
      <w:r>
        <w:t xml:space="preserve"> </w:t>
      </w:r>
      <w:r>
        <w:t xml:space="preserve">Alternatively, samples belonging to the same covariance matrix might be stored next to each other and organized “matrix by matrix”.</w:t>
      </w:r>
      <w:r>
        <w:t xml:space="preserve"> </w:t>
      </w:r>
      <w:r>
        <w:t xml:space="preserve">PRD products are organized “layer by layer”, i.e., with bands corresponding to the output of the polarimetric decomposition stored next to each other.</w:t>
      </w:r>
    </w:p>
    <w:p>
      <w:r>
        <w:br w:type="page"/>
      </w:r>
    </w:p>
    <w:bookmarkEnd w:id="36"/>
    <w:bookmarkStart w:id="37" w:name="definitions-and-abbreviations"/>
    <w:p>
      <w:pPr>
        <w:pStyle w:val="berschrift2"/>
      </w:pPr>
      <w:r>
        <w:t xml:space="preserve">Definitions and Abbreviations</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PRD</w:t>
      </w:r>
    </w:p>
    <w:p>
      <w:pPr>
        <w:pStyle w:val="Definition"/>
      </w:pPr>
      <w:r>
        <w:t xml:space="preserve">Polarimetric Radar Decomposition</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54"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 Section </w:t>
      </w:r>
      <w:r>
        <w:t xml:space="preserve">“</w:t>
      </w:r>
      <w:hyperlink w:anchor="sec:rcm-radacc-sar">
        <w:r>
          <w:rPr>
            <w:rStyle w:val="Hyperlink"/>
          </w:rPr>
          <w:t xml:space="preserve">Radiometrically Corrected Measurements: Radiometric Accuracy</w:t>
        </w:r>
      </w:hyperlink>
      <w:r>
        <w:t xml:space="preserve">”</w:t>
      </w:r>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case of composite products, the dates/times of the first and last data takes and the per-pixel metadata Section </w:t>
      </w:r>
      <w:r>
        <w:t xml:space="preserve">“</w:t>
      </w:r>
      <w:hyperlink w:anchor="sec:pxl-pacqid">
        <w:r>
          <w:rPr>
            <w:rStyle w:val="Hyperlink"/>
          </w:rPr>
          <w:t xml:space="preserve">Per-Pixel Metadata: Acquisition ID Image</w:t>
        </w:r>
      </w:hyperlink>
      <w:r>
        <w:t xml:space="preserve">”</w:t>
      </w:r>
      <w:r>
        <w:t xml:space="preserve"> </w:t>
      </w:r>
      <w:r>
        <w:t xml:space="preserve">is provided with the product.</w:t>
      </w:r>
    </w:p>
    <w:bookmarkEnd w:id="54"/>
    <w:bookmarkStart w:id="55" w:name="goal-requirements-4"/>
    <w:p>
      <w:pPr>
        <w:pStyle w:val="berschrift5"/>
      </w:pPr>
      <w:r>
        <w:t xml:space="preserve">Goal requirements:</w:t>
      </w:r>
    </w:p>
    <w:p>
      <w:pPr>
        <w:pStyle w:val="FirstParagraph"/>
      </w:pPr>
      <w:r>
        <w:t xml:space="preserve">As threshold.</w:t>
      </w:r>
      <w:r>
        <w:t xml:space="preserve"> </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3" w:name="sec:src"/>
    <w:p>
      <w:pPr>
        <w:pStyle w:val="berschrift3"/>
      </w:pPr>
      <w:r>
        <w:rPr>
          <w:rStyle w:val="VerbatimChar"/>
        </w:rPr>
        <w:t xml:space="preserve">2.</w:t>
      </w:r>
      <w:r>
        <w:t xml:space="preserve"> </w:t>
      </w:r>
      <w:r>
        <w:t xml:space="preserve">Source Metadata</w:t>
      </w:r>
    </w:p>
    <w:p>
      <w:pPr>
        <w:pStyle w:val="FirstParagraph"/>
      </w:pPr>
      <w:r>
        <w:t xml:space="preserve">These are metadata records describing (detailing)</w:t>
      </w:r>
      <w:r>
        <w:t xml:space="preserve"> </w:t>
      </w:r>
      <w:r>
        <w:rPr>
          <w:b/>
          <w:bCs/>
        </w:rPr>
        <w:t xml:space="preserve">each</w:t>
      </w:r>
      <w:r>
        <w:t xml:space="preserve"> </w:t>
      </w:r>
      <w:r>
        <w:t xml:space="preserve">acquisition (source data) used to generate the ARD product.</w:t>
      </w:r>
      <w:r>
        <w:t xml:space="preserve"> </w:t>
      </w:r>
      <w:r>
        <w:t xml:space="preserve">This may be one or mutliple acquisitions.</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Each acquisition is identified through a sequential identifier in the metadata, e.g. acqID = 1, 2, 3.</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including a reference to the relevant</w:t>
      </w:r>
      <w:r>
        <w:t xml:space="preserve"> </w:t>
      </w:r>
      <w:hyperlink r:id="rId68">
        <w:r>
          <w:rPr>
            <w:rStyle w:val="Hyperlink"/>
          </w:rPr>
          <w:t xml:space="preserve">CEOS Missions, Instruments and Measurements Database</w:t>
        </w:r>
      </w:hyperlink>
      <w:r>
        <w:t xml:space="preserve"> </w:t>
      </w:r>
      <w:r>
        <w:t xml:space="preserve">record.</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4"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1"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w:t>
      </w:r>
      <w:r>
        <w:rPr>
          <w:rStyle w:val="Funotenzeichen"/>
        </w:rPr>
        <w:footnoteReference w:id="80"/>
      </w:r>
    </w:p>
    <w:p>
      <w:pPr>
        <w:pStyle w:val="Compact"/>
        <w:numPr>
          <w:ilvl w:val="0"/>
          <w:numId w:val="1016"/>
        </w:numPr>
      </w:pPr>
      <w:r>
        <w:t xml:space="preserve">Orbit data source (e.g., predicted, definite, precise, downlinked, etc.)</w:t>
      </w:r>
    </w:p>
    <w:bookmarkEnd w:id="81"/>
    <w:bookmarkStart w:id="82" w:name="goal-requirements-10"/>
    <w:p>
      <w:pPr>
        <w:pStyle w:val="berschrift5"/>
      </w:pPr>
      <w:r>
        <w:t xml:space="preserve">Goal requirements:</w:t>
      </w:r>
    </w:p>
    <w:p>
      <w:pPr>
        <w:pStyle w:val="FirstParagraph"/>
      </w:pPr>
      <w:r>
        <w:t xml:space="preserve">As threshold, including also:</w:t>
      </w:r>
    </w:p>
    <w:p>
      <w:pPr>
        <w:pStyle w:val="Compact"/>
        <w:numPr>
          <w:ilvl w:val="0"/>
          <w:numId w:val="1017"/>
        </w:numPr>
      </w:pPr>
      <w:r>
        <w:t xml:space="preserve">Platform heading angle expressed in degrees (0-360) from North</w:t>
      </w:r>
    </w:p>
    <w:p>
      <w:pPr>
        <w:pStyle w:val="Compact"/>
        <w:numPr>
          <w:ilvl w:val="0"/>
          <w:numId w:val="1017"/>
        </w:numPr>
      </w:pPr>
      <w:r>
        <w:t xml:space="preserve">Orbit data file containing state vectors (minimum of 5 state vectors, from 10% of scene length before start time to 10% of scene length after stop time)</w:t>
      </w:r>
    </w:p>
    <w:p>
      <w:pPr>
        <w:pStyle w:val="Compact"/>
        <w:numPr>
          <w:ilvl w:val="0"/>
          <w:numId w:val="1017"/>
        </w:numPr>
      </w:pPr>
      <w:r>
        <w:t xml:space="preserve">Platform (mean) altitude</w:t>
      </w:r>
    </w:p>
    <w:bookmarkEnd w:id="82"/>
    <w:bookmarkStart w:id="83"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3"/>
    <w:bookmarkEnd w:id="84"/>
    <w:bookmarkStart w:id="88"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5"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9"/>
        </w:numPr>
      </w:pPr>
      <w:r>
        <w:t xml:space="preserve">Processing facility</w:t>
      </w:r>
    </w:p>
    <w:p>
      <w:pPr>
        <w:pStyle w:val="Compact"/>
        <w:numPr>
          <w:ilvl w:val="0"/>
          <w:numId w:val="1019"/>
        </w:numPr>
      </w:pPr>
      <w:r>
        <w:t xml:space="preserve">Processing date</w:t>
      </w:r>
    </w:p>
    <w:p>
      <w:pPr>
        <w:pStyle w:val="Compact"/>
        <w:numPr>
          <w:ilvl w:val="0"/>
          <w:numId w:val="1019"/>
        </w:numPr>
      </w:pPr>
      <w:r>
        <w:t xml:space="preserve">Software version</w:t>
      </w:r>
    </w:p>
    <w:p>
      <w:pPr>
        <w:pStyle w:val="Compact"/>
        <w:numPr>
          <w:ilvl w:val="0"/>
          <w:numId w:val="1019"/>
        </w:numPr>
      </w:pPr>
      <w:r>
        <w:t xml:space="preserve">Product level</w:t>
      </w:r>
    </w:p>
    <w:p>
      <w:pPr>
        <w:pStyle w:val="Compact"/>
        <w:numPr>
          <w:ilvl w:val="0"/>
          <w:numId w:val="1019"/>
        </w:numPr>
      </w:pPr>
      <w:r>
        <w:t xml:space="preserve">Product ID (file name)</w:t>
      </w:r>
    </w:p>
    <w:p>
      <w:pPr>
        <w:pStyle w:val="Compact"/>
        <w:numPr>
          <w:ilvl w:val="0"/>
          <w:numId w:val="1019"/>
        </w:numPr>
      </w:pPr>
      <w:r>
        <w:t xml:space="preserve">Azimuth number of looks</w:t>
      </w:r>
    </w:p>
    <w:p>
      <w:pPr>
        <w:pStyle w:val="Compact"/>
        <w:numPr>
          <w:ilvl w:val="0"/>
          <w:numId w:val="1019"/>
        </w:numPr>
      </w:pPr>
      <w:r>
        <w:t xml:space="preserve">Range number of looks (separate values for each beam, as necessary)</w:t>
      </w:r>
    </w:p>
    <w:bookmarkEnd w:id="85"/>
    <w:bookmarkStart w:id="86"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6"/>
    <w:bookmarkStart w:id="87"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7"/>
    <w:bookmarkEnd w:id="88"/>
    <w:bookmarkStart w:id="92"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9"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bookmarkEnd w:id="89"/>
    <w:bookmarkStart w:id="90" w:name="goal-requirements-12"/>
    <w:p>
      <w:pPr>
        <w:pStyle w:val="berschrift5"/>
      </w:pPr>
      <w:r>
        <w:t xml:space="preserve">Goal requirements:</w:t>
      </w:r>
    </w:p>
    <w:p>
      <w:pPr>
        <w:pStyle w:val="FirstParagraph"/>
      </w:pPr>
      <w:r>
        <w:t xml:space="preserve">Geometry of the image footprint expressed in WGS84 in a standardised format (e.g., WKT).</w:t>
      </w:r>
    </w:p>
    <w:bookmarkEnd w:id="90"/>
    <w:bookmarkStart w:id="91"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91"/>
    <w:bookmarkEnd w:id="92"/>
    <w:bookmarkStart w:id="96"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3" w:name="threshold-requirements-13"/>
    <w:p>
      <w:pPr>
        <w:pStyle w:val="berschrift5"/>
      </w:pPr>
      <w:r>
        <w:t xml:space="preserve">Threshold requirements:</w:t>
      </w:r>
    </w:p>
    <w:p>
      <w:pPr>
        <w:pStyle w:val="FirstParagraph"/>
      </w:pPr>
      <w:r>
        <w:t xml:space="preserve">Not required.</w:t>
      </w:r>
      <w:r>
        <w:t xml:space="preserve"> </w:t>
      </w:r>
    </w:p>
    <w:bookmarkEnd w:id="93"/>
    <w:bookmarkStart w:id="94"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4"/>
    <w:bookmarkStart w:id="95" w:name="assessment-13"/>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5"/>
    <w:bookmarkEnd w:id="96"/>
    <w:bookmarkStart w:id="100"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7"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7"/>
    <w:bookmarkStart w:id="98"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8"/>
    <w:bookmarkStart w:id="99" w:name="assessment-14"/>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9"/>
    <w:bookmarkEnd w:id="100"/>
    <w:bookmarkStart w:id="104"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1" w:name="threshold-requirements-15"/>
    <w:p>
      <w:pPr>
        <w:pStyle w:val="berschrift5"/>
      </w:pPr>
      <w:r>
        <w:t xml:space="preserve">Threshold requirements:</w:t>
      </w:r>
    </w:p>
    <w:p>
      <w:pPr>
        <w:pStyle w:val="FirstParagraph"/>
      </w:pPr>
      <w:r>
        <w:t xml:space="preserve">Not required.</w:t>
      </w:r>
      <w:r>
        <w:t xml:space="preserve"> </w:t>
      </w:r>
    </w:p>
    <w:bookmarkEnd w:id="101"/>
    <w:bookmarkStart w:id="102"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2"/>
    <w:bookmarkStart w:id="103" w:name="assessment-15"/>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03"/>
    <w:bookmarkEnd w:id="104"/>
    <w:bookmarkStart w:id="108"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5" w:name="threshold-requirements-16"/>
    <w:p>
      <w:pPr>
        <w:pStyle w:val="berschrift5"/>
      </w:pPr>
      <w:r>
        <w:t xml:space="preserve">Threshold requirements:</w:t>
      </w:r>
    </w:p>
    <w:p>
      <w:pPr>
        <w:pStyle w:val="FirstParagraph"/>
      </w:pPr>
      <w:r>
        <w:t xml:space="preserve">Not required.</w:t>
      </w:r>
      <w:r>
        <w:t xml:space="preserve"> </w:t>
      </w:r>
    </w:p>
    <w:bookmarkEnd w:id="105"/>
    <w:bookmarkStart w:id="106"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6"/>
    <w:bookmarkStart w:id="107" w:name="assessment-16"/>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7"/>
    <w:bookmarkEnd w:id="108"/>
    <w:bookmarkStart w:id="112"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9" w:name="threshold-requirements-17"/>
    <w:p>
      <w:pPr>
        <w:pStyle w:val="berschrift5"/>
      </w:pPr>
      <w:r>
        <w:t xml:space="preserve">Threshold requirements:</w:t>
      </w:r>
    </w:p>
    <w:p>
      <w:pPr>
        <w:pStyle w:val="FirstParagraph"/>
      </w:pPr>
      <w:r>
        <w:t xml:space="preserve">Not required.</w:t>
      </w:r>
      <w:r>
        <w:t xml:space="preserve"> </w:t>
      </w:r>
    </w:p>
    <w:bookmarkEnd w:id="109"/>
    <w:bookmarkStart w:id="110"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10"/>
    <w:bookmarkStart w:id="111" w:name="assessment-17"/>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bookmarkEnd w:id="111"/>
    <w:bookmarkEnd w:id="112"/>
    <w:bookmarkEnd w:id="113"/>
    <w:bookmarkStart w:id="162"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7"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4"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8"/>
        </w:numPr>
      </w:pPr>
      <w:r>
        <w:t xml:space="preserve">Processing facility</w:t>
      </w:r>
    </w:p>
    <w:p>
      <w:pPr>
        <w:pStyle w:val="Compact"/>
        <w:numPr>
          <w:ilvl w:val="0"/>
          <w:numId w:val="1028"/>
        </w:numPr>
      </w:pPr>
      <w:r>
        <w:t xml:space="preserve">Processing date</w:t>
      </w:r>
    </w:p>
    <w:p>
      <w:pPr>
        <w:pStyle w:val="Compact"/>
        <w:numPr>
          <w:ilvl w:val="0"/>
          <w:numId w:val="1028"/>
        </w:numPr>
      </w:pPr>
      <w:r>
        <w:t xml:space="preserve">Software version</w:t>
      </w:r>
    </w:p>
    <w:p>
      <w:pPr>
        <w:pStyle w:val="Compact"/>
        <w:numPr>
          <w:ilvl w:val="0"/>
          <w:numId w:val="1028"/>
        </w:numPr>
      </w:pPr>
      <w:r>
        <w:t xml:space="preserve">Location from where CEOS-ARD product can be retrieved, expressed as a URL or DOI.</w:t>
      </w:r>
    </w:p>
    <w:bookmarkEnd w:id="114"/>
    <w:bookmarkStart w:id="115"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5"/>
    <w:bookmarkStart w:id="116" w:name="assessment-18"/>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6"/>
    <w:bookmarkEnd w:id="117"/>
    <w:bookmarkStart w:id="121"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8" w:name="threshold-requirements-19"/>
    <w:p>
      <w:pPr>
        <w:pStyle w:val="berschrift5"/>
      </w:pPr>
      <w:r>
        <w:t xml:space="preserve">Threshold requirements:</w:t>
      </w:r>
    </w:p>
    <w:p>
      <w:pPr>
        <w:pStyle w:val="FirstParagraph"/>
      </w:pPr>
      <w:r>
        <w:t xml:space="preserve">Not required.</w:t>
      </w:r>
      <w:r>
        <w:t xml:space="preserve"> </w:t>
      </w:r>
    </w:p>
    <w:bookmarkEnd w:id="118"/>
    <w:bookmarkStart w:id="119"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0"/>
        </w:numPr>
      </w:pPr>
      <w:r>
        <w:t xml:space="preserve">Auxiliary data includes DEMs, etc., and any additional data sources used in the generation of the product.</w:t>
      </w:r>
    </w:p>
    <w:bookmarkEnd w:id="119"/>
    <w:bookmarkStart w:id="120" w:name="assessment-19"/>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20"/>
    <w:bookmarkEnd w:id="121"/>
    <w:bookmarkStart w:id="125"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2"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2"/>
        </w:numPr>
      </w:pPr>
      <w:r>
        <w:t xml:space="preserve">Pixel (column) spacing</w:t>
      </w:r>
    </w:p>
    <w:p>
      <w:pPr>
        <w:pStyle w:val="Compact"/>
        <w:numPr>
          <w:ilvl w:val="0"/>
          <w:numId w:val="1032"/>
        </w:numPr>
      </w:pPr>
      <w:r>
        <w:t xml:space="preserve">Line (row) spacing</w:t>
      </w:r>
    </w:p>
    <w:bookmarkEnd w:id="122"/>
    <w:bookmarkStart w:id="123" w:name="goal-requirements-20"/>
    <w:p>
      <w:pPr>
        <w:pStyle w:val="berschrift5"/>
      </w:pPr>
      <w:r>
        <w:t xml:space="preserve">Goal requirements:</w:t>
      </w:r>
    </w:p>
    <w:p>
      <w:pPr>
        <w:pStyle w:val="FirstParagraph"/>
      </w:pPr>
      <w:r>
        <w:t xml:space="preserve">As threshold.</w:t>
      </w:r>
      <w:r>
        <w:t xml:space="preserve"> </w:t>
      </w:r>
    </w:p>
    <w:bookmarkEnd w:id="123"/>
    <w:bookmarkStart w:id="124"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4"/>
    <w:bookmarkEnd w:id="125"/>
    <w:bookmarkStart w:id="129"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6" w:name="threshold-requirements-21"/>
    <w:p>
      <w:pPr>
        <w:pStyle w:val="berschrift5"/>
      </w:pPr>
      <w:r>
        <w:t xml:space="preserve">Threshold requirements:</w:t>
      </w:r>
    </w:p>
    <w:p>
      <w:pPr>
        <w:pStyle w:val="FirstParagraph"/>
      </w:pPr>
      <w:r>
        <w:t xml:space="preserve">Not required.</w:t>
      </w:r>
      <w:r>
        <w:t xml:space="preserve"> </w:t>
      </w:r>
    </w:p>
    <w:bookmarkEnd w:id="126"/>
    <w:bookmarkStart w:id="127" w:name="goal-requirements-21"/>
    <w:p>
      <w:pPr>
        <w:pStyle w:val="berschrift5"/>
      </w:pPr>
      <w:r>
        <w:t xml:space="preserve">Goal requirements:</w:t>
      </w:r>
    </w:p>
    <w:p>
      <w:pPr>
        <w:pStyle w:val="FirstParagraph"/>
      </w:pPr>
      <w:r>
        <w:t xml:space="preserve">Equivalent Number of Looks (ENL)</w:t>
      </w:r>
    </w:p>
    <w:bookmarkEnd w:id="127"/>
    <w:bookmarkStart w:id="128" w:name="assessment-21"/>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8"/>
    <w:bookmarkEnd w:id="129"/>
    <w:bookmarkStart w:id="133"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30" w:name="threshold-requirements-22"/>
    <w:p>
      <w:pPr>
        <w:pStyle w:val="berschrift5"/>
      </w:pPr>
      <w:r>
        <w:t xml:space="preserve">Threshold requirements:</w:t>
      </w:r>
    </w:p>
    <w:p>
      <w:pPr>
        <w:pStyle w:val="FirstParagraph"/>
      </w:pPr>
      <w:r>
        <w:t xml:space="preserve">Not required.</w:t>
      </w:r>
      <w:r>
        <w:t xml:space="preserve"> </w:t>
      </w:r>
    </w:p>
    <w:bookmarkEnd w:id="130"/>
    <w:bookmarkStart w:id="131"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5"/>
        </w:numPr>
      </w:pPr>
      <w:r>
        <w:t xml:space="preserve">Columns</w:t>
      </w:r>
    </w:p>
    <w:p>
      <w:pPr>
        <w:pStyle w:val="Compact"/>
        <w:numPr>
          <w:ilvl w:val="0"/>
          <w:numId w:val="1035"/>
        </w:numPr>
      </w:pPr>
      <w:r>
        <w:t xml:space="preserve">Rows</w:t>
      </w:r>
    </w:p>
    <w:bookmarkEnd w:id="131"/>
    <w:bookmarkStart w:id="132"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32"/>
    <w:bookmarkEnd w:id="133"/>
    <w:bookmarkStart w:id="137" w:name="sec:prd-spekfil-po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prd-spekfil-pol</w:t>
      </w:r>
    </w:p>
    <w:bookmarkStart w:id="134"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7"/>
        </w:numPr>
      </w:pPr>
      <w:r>
        <w:t xml:space="preserve">Reference to algorithm as DOI or URL</w:t>
      </w:r>
    </w:p>
    <w:p>
      <w:pPr>
        <w:pStyle w:val="Compact"/>
        <w:numPr>
          <w:ilvl w:val="0"/>
          <w:numId w:val="1037"/>
        </w:numPr>
      </w:pPr>
      <w:r>
        <w:t xml:space="preserve">Input filtering parameters</w:t>
      </w:r>
    </w:p>
    <w:p>
      <w:pPr>
        <w:pStyle w:val="Compact"/>
        <w:numPr>
          <w:ilvl w:val="1"/>
          <w:numId w:val="1038"/>
        </w:numPr>
      </w:pPr>
      <w:r>
        <w:t xml:space="preserve">Type</w:t>
      </w:r>
    </w:p>
    <w:p>
      <w:pPr>
        <w:pStyle w:val="Compact"/>
        <w:numPr>
          <w:ilvl w:val="1"/>
          <w:numId w:val="1038"/>
        </w:numPr>
      </w:pPr>
      <w:r>
        <w:t xml:space="preserve">Window size in pixel units</w:t>
      </w:r>
    </w:p>
    <w:p>
      <w:pPr>
        <w:pStyle w:val="Compact"/>
        <w:numPr>
          <w:ilvl w:val="1"/>
          <w:numId w:val="1038"/>
        </w:numPr>
      </w:pPr>
      <w:r>
        <w:t xml:space="preserve">Any other parameters defining the speckle filter used</w:t>
      </w:r>
    </w:p>
    <w:p>
      <w:pPr>
        <w:pStyle w:val="FirstParagraph"/>
      </w:pPr>
      <w:r>
        <w:t xml:space="preserve">Advanced polarimetric filter preserving covariance matrix properties should be applied.</w:t>
      </w:r>
    </w:p>
    <w:bookmarkEnd w:id="134"/>
    <w:bookmarkStart w:id="135" w:name="goal-requirements-23"/>
    <w:p>
      <w:pPr>
        <w:pStyle w:val="berschrift5"/>
      </w:pPr>
      <w:r>
        <w:t xml:space="preserve">Goal requirements:</w:t>
      </w:r>
    </w:p>
    <w:p>
      <w:pPr>
        <w:pStyle w:val="FirstParagraph"/>
      </w:pPr>
      <w:r>
        <w:t xml:space="preserve">As threshold.</w:t>
      </w:r>
      <w:r>
        <w:t xml:space="preserve"> </w:t>
      </w:r>
    </w:p>
    <w:bookmarkEnd w:id="135"/>
    <w:bookmarkStart w:id="136" w:name="assessment-23"/>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6"/>
    <w:bookmarkEnd w:id="137"/>
    <w:bookmarkStart w:id="141"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8"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 Section </w:t>
      </w:r>
      <w:r>
        <w:t xml:space="preserve">“</w:t>
      </w:r>
      <w:hyperlink w:anchor="sec:prd-crs-sar">
        <w:r>
          <w:rPr>
            <w:rStyle w:val="Hyperlink"/>
          </w:rPr>
          <w:t xml:space="preserve">Product Metadata: Product Coordinate Reference System</w:t>
        </w:r>
      </w:hyperlink>
      <w:r>
        <w:t xml:space="preserve">”</w:t>
      </w:r>
      <w:r>
        <w:t xml:space="preserve">.</w:t>
      </w:r>
    </w:p>
    <w:p>
      <w:pPr>
        <w:pStyle w:val="Textkrper"/>
      </w:pPr>
      <w:r>
        <w:t xml:space="preserve">Note:</w:t>
      </w:r>
    </w:p>
    <w:p>
      <w:pPr>
        <w:pStyle w:val="Compact"/>
        <w:numPr>
          <w:ilvl w:val="0"/>
          <w:numId w:val="1040"/>
        </w:numPr>
      </w:pPr>
      <w:r>
        <w:t xml:space="preserve">Four corners of the product file are recommended for scenes crossing the Antemeridian, or the North or the South Pole.</w:t>
      </w:r>
    </w:p>
    <w:bookmarkEnd w:id="138"/>
    <w:bookmarkStart w:id="139" w:name="goal-requirements-24"/>
    <w:p>
      <w:pPr>
        <w:pStyle w:val="berschrift5"/>
      </w:pPr>
      <w:r>
        <w:t xml:space="preserve">Goal requirements:</w:t>
      </w:r>
    </w:p>
    <w:p>
      <w:pPr>
        <w:pStyle w:val="FirstParagraph"/>
      </w:pPr>
      <w:r>
        <w:t xml:space="preserve">As threshold.</w:t>
      </w:r>
      <w:r>
        <w:t xml:space="preserve"> </w:t>
      </w:r>
    </w:p>
    <w:bookmarkEnd w:id="139"/>
    <w:bookmarkStart w:id="140" w:name="assessment-24"/>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0"/>
    <w:bookmarkEnd w:id="141"/>
    <w:bookmarkStart w:id="145"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2" w:name="threshold-requirements-25"/>
    <w:p>
      <w:pPr>
        <w:pStyle w:val="berschrift5"/>
      </w:pPr>
      <w:r>
        <w:t xml:space="preserve">Threshold requirements:</w:t>
      </w:r>
    </w:p>
    <w:p>
      <w:pPr>
        <w:pStyle w:val="FirstParagraph"/>
      </w:pPr>
      <w:r>
        <w:t xml:space="preserve">The geometry of the SAR image footprint expressed in WGS84, in a standardised format (e.g., WKT Polygon).</w:t>
      </w:r>
    </w:p>
    <w:bookmarkEnd w:id="142"/>
    <w:bookmarkStart w:id="143" w:name="goal-requirements-25"/>
    <w:p>
      <w:pPr>
        <w:pStyle w:val="berschrift5"/>
      </w:pPr>
      <w:r>
        <w:t xml:space="preserve">Goal requirements:</w:t>
      </w:r>
    </w:p>
    <w:p>
      <w:pPr>
        <w:pStyle w:val="FirstParagraph"/>
      </w:pPr>
      <w:r>
        <w:t xml:space="preserve">As threshold.</w:t>
      </w:r>
      <w:r>
        <w:t xml:space="preserve"> </w:t>
      </w:r>
    </w:p>
    <w:bookmarkEnd w:id="143"/>
    <w:bookmarkStart w:id="144" w:name="assessment-25"/>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4"/>
    <w:bookmarkEnd w:id="145"/>
    <w:bookmarkStart w:id="149"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6"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3"/>
        </w:numPr>
      </w:pPr>
      <w:r>
        <w:t xml:space="preserve">Number of lines</w:t>
      </w:r>
    </w:p>
    <w:p>
      <w:pPr>
        <w:pStyle w:val="Compact"/>
        <w:numPr>
          <w:ilvl w:val="0"/>
          <w:numId w:val="1043"/>
        </w:numPr>
      </w:pPr>
      <w:r>
        <w:t xml:space="preserve">Number of pixels per line</w:t>
      </w:r>
    </w:p>
    <w:p>
      <w:pPr>
        <w:pStyle w:val="Compact"/>
        <w:numPr>
          <w:ilvl w:val="0"/>
          <w:numId w:val="1043"/>
        </w:numPr>
      </w:pPr>
      <w:r>
        <w:t xml:space="preserve">File header size (if applicable)</w:t>
      </w:r>
    </w:p>
    <w:p>
      <w:pPr>
        <w:pStyle w:val="Compact"/>
        <w:numPr>
          <w:ilvl w:val="0"/>
          <w:numId w:val="1043"/>
        </w:numPr>
      </w:pPr>
      <w:r>
        <w:t xml:space="preserve">Number of no-data border pixels (if applicable)</w:t>
      </w:r>
    </w:p>
    <w:bookmarkEnd w:id="146"/>
    <w:bookmarkStart w:id="147" w:name="goal-requirements-26"/>
    <w:p>
      <w:pPr>
        <w:pStyle w:val="berschrift5"/>
      </w:pPr>
      <w:r>
        <w:t xml:space="preserve">Goal requirements:</w:t>
      </w:r>
    </w:p>
    <w:p>
      <w:pPr>
        <w:pStyle w:val="FirstParagraph"/>
      </w:pPr>
      <w:r>
        <w:t xml:space="preserve">As threshold.</w:t>
      </w:r>
      <w:r>
        <w:t xml:space="preserve"> </w:t>
      </w:r>
    </w:p>
    <w:bookmarkEnd w:id="147"/>
    <w:bookmarkStart w:id="148"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8"/>
    <w:bookmarkEnd w:id="149"/>
    <w:bookmarkStart w:id="153"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50"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50"/>
    <w:bookmarkStart w:id="151" w:name="goal-requirements-27"/>
    <w:p>
      <w:pPr>
        <w:pStyle w:val="berschrift5"/>
      </w:pPr>
      <w:r>
        <w:t xml:space="preserve">Goal requirements:</w:t>
      </w:r>
    </w:p>
    <w:p>
      <w:pPr>
        <w:pStyle w:val="FirstParagraph"/>
      </w:pPr>
      <w:r>
        <w:t xml:space="preserve">As threshold.</w:t>
      </w:r>
      <w:r>
        <w:t xml:space="preserve"> </w:t>
      </w:r>
    </w:p>
    <w:bookmarkEnd w:id="151"/>
    <w:bookmarkStart w:id="152"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2"/>
    <w:bookmarkEnd w:id="153"/>
    <w:bookmarkStart w:id="157"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4"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r>
        <w:br/>
      </w:r>
      <w:r>
        <w:t xml:space="preserve">Indicate EPSG code, if defined for the CRS.</w:t>
      </w:r>
    </w:p>
    <w:bookmarkEnd w:id="154"/>
    <w:bookmarkStart w:id="155" w:name="goal-requirements-28"/>
    <w:p>
      <w:pPr>
        <w:pStyle w:val="berschrift5"/>
      </w:pPr>
      <w:r>
        <w:t xml:space="preserve">Goal requirements:</w:t>
      </w:r>
    </w:p>
    <w:p>
      <w:pPr>
        <w:pStyle w:val="FirstParagraph"/>
      </w:pPr>
      <w:r>
        <w:t xml:space="preserve">As threshold.</w:t>
      </w:r>
      <w:r>
        <w:t xml:space="preserve"> </w:t>
      </w:r>
    </w:p>
    <w:bookmarkEnd w:id="155"/>
    <w:bookmarkStart w:id="156"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6"/>
    <w:bookmarkEnd w:id="157"/>
    <w:bookmarkStart w:id="161"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 Only when Flattened phase per-pixel metadata (see Section </w:t>
      </w:r>
      <w:r>
        <w:rPr>
          <w:b/>
          <w:bCs/>
        </w:rPr>
        <w:t xml:space="preserve">“</w:t>
      </w:r>
      <w:hyperlink w:anchor="sec:rcm-flapha">
        <w:r>
          <w:rPr>
            <w:rStyle w:val="Hyperlink"/>
            <w:b/>
            <w:bCs/>
          </w:rPr>
          <w:t xml:space="preserve">Radiometrically Corrected Measurements: Flattened Phase</w:t>
        </w:r>
      </w:hyperlink>
      <w:r>
        <w:rPr>
          <w:b/>
          <w:bCs/>
        </w:rPr>
        <w:t xml:space="preserve">”</w:t>
      </w:r>
      <w:r>
        <w:rPr>
          <w:b/>
          <w:bCs/>
        </w:rPr>
        <w:t xml:space="preserve">) is provided.</w:t>
      </w:r>
    </w:p>
    <w:bookmarkStart w:id="158" w:name="threshold-requirements-29"/>
    <w:p>
      <w:pPr>
        <w:pStyle w:val="berschrift5"/>
      </w:pPr>
      <w:r>
        <w:t xml:space="preserve">Threshold requirements:</w:t>
      </w:r>
    </w:p>
    <w:p>
      <w:pPr>
        <w:pStyle w:val="FirstParagraph"/>
      </w:pPr>
      <w:r>
        <w:t xml:space="preserve">Not required.</w:t>
      </w:r>
      <w:r>
        <w:t xml:space="preserve"> </w:t>
      </w:r>
    </w:p>
    <w:bookmarkEnd w:id="158"/>
    <w:bookmarkStart w:id="159"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p>
      <w:pPr>
        <w:pStyle w:val="Textkrper"/>
      </w:pPr>
      <w:r>
        <w:t xml:space="preserve">Provide scene-centred perpendicular baseline for the for the source data relative to the reference orbit used (for approximate use only).</w:t>
      </w:r>
    </w:p>
    <w:bookmarkEnd w:id="159"/>
    <w:bookmarkStart w:id="160" w:name="assessment-29"/>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bookmarkEnd w:id="160"/>
    <w:bookmarkEnd w:id="161"/>
    <w:bookmarkEnd w:id="162"/>
    <w:bookmarkStart w:id="203"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6" w:name="sec:pxl-cngform"/>
    <w:p>
      <w:pPr>
        <w:pStyle w:val="berschrift4"/>
      </w:pPr>
      <w:r>
        <w:rPr>
          <w:rStyle w:val="VerbatimChar"/>
        </w:rPr>
        <w:t xml:space="preserve">4.1.</w:t>
      </w:r>
      <w:r>
        <w:t xml:space="preserve"> </w:t>
      </w:r>
      <w:r>
        <w:t xml:space="preserve">Cloud Optimized Formats</w:t>
      </w:r>
    </w:p>
    <w:p>
      <w:pPr>
        <w:pStyle w:val="FirstParagraph"/>
      </w:pPr>
      <w:r>
        <w:t xml:space="preserve">Identifier:</w:t>
      </w:r>
      <w:r>
        <w:t xml:space="preserve"> </w:t>
      </w:r>
      <w:r>
        <w:rPr>
          <w:rStyle w:val="VerbatimChar"/>
        </w:rPr>
        <w:t xml:space="preserve">pxl-cngform</w:t>
      </w:r>
    </w:p>
    <w:bookmarkStart w:id="163" w:name="threshold-requirements-30"/>
    <w:p>
      <w:pPr>
        <w:pStyle w:val="berschrift5"/>
      </w:pPr>
      <w:r>
        <w:t xml:space="preserve">Threshold requirements:</w:t>
      </w:r>
    </w:p>
    <w:p>
      <w:pPr>
        <w:pStyle w:val="FirstParagraph"/>
      </w:pPr>
      <w:r>
        <w:t xml:space="preserve">Not required.</w:t>
      </w:r>
      <w:r>
        <w:t xml:space="preserve"> </w:t>
      </w:r>
    </w:p>
    <w:bookmarkEnd w:id="163"/>
    <w:bookmarkStart w:id="164" w:name="goal-requirements-30"/>
    <w:p>
      <w:pPr>
        <w:pStyle w:val="berschrift5"/>
      </w:pPr>
      <w:r>
        <w:t xml:space="preserve">Goal requirements:</w:t>
      </w:r>
    </w:p>
    <w:p>
      <w:pPr>
        <w:pStyle w:val="FirstParagraph"/>
      </w:pPr>
      <w:r>
        <w:t xml:space="preserve">All files are provided using cloud-optimized file formats.</w:t>
      </w:r>
    </w:p>
    <w:bookmarkEnd w:id="164"/>
    <w:bookmarkStart w:id="165" w:name="assessment-30"/>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5"/>
    <w:bookmarkEnd w:id="166"/>
    <w:bookmarkStart w:id="170" w:name="sec:pxl-memare-sar"/>
    <w:p>
      <w:pPr>
        <w:pStyle w:val="berschrift4"/>
      </w:pPr>
      <w:r>
        <w:rPr>
          <w:rStyle w:val="VerbatimChar"/>
        </w:rPr>
        <w:t xml:space="preserve">4.2.</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7" w:name="threshold-requirements-3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167"/>
    <w:bookmarkStart w:id="168" w:name="goal-requirements-3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168"/>
    <w:bookmarkStart w:id="169" w:name="assessment-31"/>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9"/>
    <w:bookmarkEnd w:id="170"/>
    <w:bookmarkStart w:id="174" w:name="sec:pxl-damaski"/>
    <w:p>
      <w:pPr>
        <w:pStyle w:val="berschrift4"/>
      </w:pPr>
      <w:r>
        <w:rPr>
          <w:rStyle w:val="VerbatimChar"/>
        </w:rPr>
        <w:t xml:space="preserve">4.3.</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1" w:name="threshold-requirements-32"/>
    <w:p>
      <w:pPr>
        <w:pStyle w:val="berschrift5"/>
      </w:pPr>
      <w:r>
        <w:t xml:space="preserve">Threshold requirements:</w:t>
      </w:r>
    </w:p>
    <w:p>
      <w:pPr>
        <w:pStyle w:val="FirstParagraph"/>
      </w:pPr>
      <w:r>
        <w:t xml:space="preserve">Mask image indicating:</w:t>
      </w:r>
    </w:p>
    <w:p>
      <w:pPr>
        <w:pStyle w:val="Compact"/>
        <w:numPr>
          <w:ilvl w:val="0"/>
          <w:numId w:val="1050"/>
        </w:numPr>
      </w:pPr>
      <w:r>
        <w:t xml:space="preserve">Valid data</w:t>
      </w:r>
    </w:p>
    <w:p>
      <w:pPr>
        <w:pStyle w:val="Compact"/>
        <w:numPr>
          <w:ilvl w:val="0"/>
          <w:numId w:val="1050"/>
        </w:numPr>
      </w:pPr>
      <w:r>
        <w:t xml:space="preserve">Invalid data</w:t>
      </w:r>
    </w:p>
    <w:p>
      <w:pPr>
        <w:pStyle w:val="Compact"/>
        <w:numPr>
          <w:ilvl w:val="0"/>
          <w:numId w:val="1050"/>
        </w:numPr>
      </w:pPr>
      <w:r>
        <w:t xml:space="preserve">No data</w:t>
      </w:r>
    </w:p>
    <w:p>
      <w:pPr>
        <w:pStyle w:val="FirstParagraph"/>
      </w:pPr>
      <w:r>
        <w:t xml:space="preserve">File format specifications/contents provided in metadata:</w:t>
      </w:r>
    </w:p>
    <w:p>
      <w:pPr>
        <w:pStyle w:val="Compact"/>
        <w:numPr>
          <w:ilvl w:val="0"/>
          <w:numId w:val="1051"/>
        </w:numPr>
      </w:pPr>
      <w:r>
        <w:t xml:space="preserve">Sample Type (Mask)</w:t>
      </w:r>
    </w:p>
    <w:p>
      <w:pPr>
        <w:pStyle w:val="Compact"/>
        <w:numPr>
          <w:ilvl w:val="0"/>
          <w:numId w:val="1051"/>
        </w:numPr>
      </w:pPr>
      <w:r>
        <w:t xml:space="preserve">Data Format (GeoTIFF, HDF5, NetCDF, …)</w:t>
      </w:r>
    </w:p>
    <w:p>
      <w:pPr>
        <w:pStyle w:val="Compact"/>
        <w:numPr>
          <w:ilvl w:val="0"/>
          <w:numId w:val="1051"/>
        </w:numPr>
      </w:pPr>
      <w:r>
        <w:t xml:space="preserve">Data Type (Int, …)</w:t>
      </w:r>
    </w:p>
    <w:p>
      <w:pPr>
        <w:pStyle w:val="Compact"/>
        <w:numPr>
          <w:ilvl w:val="0"/>
          <w:numId w:val="1051"/>
        </w:numPr>
      </w:pPr>
      <w:r>
        <w:t xml:space="preserve">Bits per Sample</w:t>
      </w:r>
    </w:p>
    <w:p>
      <w:pPr>
        <w:pStyle w:val="Compact"/>
        <w:numPr>
          <w:ilvl w:val="0"/>
          <w:numId w:val="1051"/>
        </w:numPr>
      </w:pPr>
      <w:r>
        <w:t xml:space="preserve">Byte Order</w:t>
      </w:r>
    </w:p>
    <w:p>
      <w:pPr>
        <w:pStyle w:val="Compact"/>
        <w:numPr>
          <w:ilvl w:val="0"/>
          <w:numId w:val="1051"/>
        </w:numPr>
      </w:pPr>
      <w:r>
        <w:t xml:space="preserve">Bit Value Representation</w:t>
      </w:r>
    </w:p>
    <w:bookmarkEnd w:id="171"/>
    <w:bookmarkStart w:id="172" w:name="goal-requirements-32"/>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2"/>
        </w:numPr>
      </w:pPr>
      <w:r>
        <w:t xml:space="preserve">Layover (masked as invalid data in threshold)</w:t>
      </w:r>
    </w:p>
    <w:p>
      <w:pPr>
        <w:pStyle w:val="Compact"/>
        <w:numPr>
          <w:ilvl w:val="0"/>
          <w:numId w:val="1052"/>
        </w:numPr>
      </w:pPr>
      <w:r>
        <w:t xml:space="preserve">Radar shadow (masked as invalid data in threshold)</w:t>
      </w:r>
    </w:p>
    <w:p>
      <w:pPr>
        <w:pStyle w:val="Compact"/>
        <w:numPr>
          <w:ilvl w:val="0"/>
          <w:numId w:val="1052"/>
        </w:numPr>
      </w:pPr>
      <w:r>
        <w:t xml:space="preserve">Ocean water</w:t>
      </w:r>
    </w:p>
    <w:p>
      <w:pPr>
        <w:pStyle w:val="Compact"/>
        <w:numPr>
          <w:ilvl w:val="0"/>
          <w:numId w:val="1052"/>
        </w:numPr>
      </w:pPr>
      <w:r>
        <w:t xml:space="preserve">Land (recommended for ORB)</w:t>
      </w:r>
    </w:p>
    <w:p>
      <w:pPr>
        <w:pStyle w:val="Compact"/>
        <w:numPr>
          <w:ilvl w:val="0"/>
          <w:numId w:val="1052"/>
        </w:numPr>
      </w:pPr>
      <w:r>
        <w:t xml:space="preserve">RTC applied (e.g., for maritime scenes with land samples for which RTC has been applied)</w:t>
      </w:r>
    </w:p>
    <w:p>
      <w:pPr>
        <w:pStyle w:val="Compact"/>
        <w:numPr>
          <w:ilvl w:val="0"/>
          <w:numId w:val="1052"/>
        </w:numPr>
      </w:pPr>
      <w:r>
        <w:t xml:space="preserve">DEM gap filling (i.e., interpolated DEM over gaps)</w:t>
      </w:r>
    </w:p>
    <w:bookmarkEnd w:id="172"/>
    <w:bookmarkStart w:id="173" w:name="assessment-32"/>
    <w:p>
      <w:pPr>
        <w:pStyle w:val="berschrift5"/>
      </w:pPr>
      <w:r>
        <w:t xml:space="preserve">Assessment:</w:t>
      </w:r>
    </w:p>
    <w:p>
      <w:pPr>
        <w:pStyle w:val="Compact"/>
        <w:numPr>
          <w:ilvl w:val="0"/>
          <w:numId w:val="1053"/>
        </w:numPr>
      </w:pPr>
      <w:r>
        <w:t xml:space="preserve">Threshold Self-Assessment:</w:t>
      </w:r>
    </w:p>
    <w:p>
      <w:pPr>
        <w:pStyle w:val="Compact"/>
        <w:numPr>
          <w:ilvl w:val="0"/>
          <w:numId w:val="1053"/>
        </w:numPr>
      </w:pPr>
      <w:r>
        <w:t xml:space="preserve">Goal Self-Assessment:</w:t>
      </w:r>
    </w:p>
    <w:p>
      <w:pPr>
        <w:pStyle w:val="Compact"/>
        <w:numPr>
          <w:ilvl w:val="0"/>
          <w:numId w:val="1053"/>
        </w:numPr>
      </w:pPr>
      <w:r>
        <w:t xml:space="preserve">Self-Assessment Explanation/ Justification:</w:t>
      </w:r>
    </w:p>
    <w:p>
      <w:pPr>
        <w:pStyle w:val="Compact"/>
        <w:numPr>
          <w:ilvl w:val="0"/>
          <w:numId w:val="1053"/>
        </w:numPr>
      </w:pPr>
      <w:r>
        <w:t xml:space="preserve">Recommended Requirement Modification:</w:t>
      </w:r>
    </w:p>
    <w:p>
      <w:r>
        <w:pict>
          <v:rect style="width:0;height:1.5pt" o:hralign="center" o:hrstd="t" o:hr="t"/>
        </w:pict>
      </w:r>
    </w:p>
    <w:bookmarkEnd w:id="173"/>
    <w:bookmarkEnd w:id="174"/>
    <w:bookmarkStart w:id="178" w:name="sec:pxl-piscata"/>
    <w:p>
      <w:pPr>
        <w:pStyle w:val="berschrift4"/>
      </w:pPr>
      <w:r>
        <w:rPr>
          <w:rStyle w:val="VerbatimChar"/>
        </w:rPr>
        <w:t xml:space="preserve">4.4.</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 Recommended for scenes that include land areas.</w:t>
      </w:r>
    </w:p>
    <w:bookmarkStart w:id="175" w:name="threshold-requirements-33"/>
    <w:p>
      <w:pPr>
        <w:pStyle w:val="berschrift5"/>
      </w:pPr>
      <w:r>
        <w:t xml:space="preserve">Threshold requirements:</w:t>
      </w:r>
    </w:p>
    <w:p>
      <w:pPr>
        <w:pStyle w:val="FirstParagraph"/>
      </w:pPr>
      <w:r>
        <w:t xml:space="preserve">Not required.</w:t>
      </w:r>
      <w:r>
        <w:t xml:space="preserve"> </w:t>
      </w:r>
    </w:p>
    <w:bookmarkEnd w:id="175"/>
    <w:bookmarkStart w:id="176" w:name="goal-requirements-33"/>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4"/>
        </w:numPr>
      </w:pPr>
      <w:r>
        <w:t xml:space="preserve">Sample Type (Scattering Area)</w:t>
      </w:r>
    </w:p>
    <w:p>
      <w:pPr>
        <w:pStyle w:val="Compact"/>
        <w:numPr>
          <w:ilvl w:val="0"/>
          <w:numId w:val="1054"/>
        </w:numPr>
      </w:pPr>
      <w:r>
        <w:t xml:space="preserve">Data Format (GeoTIFF, HDF5, NetCDF, …)</w:t>
      </w:r>
    </w:p>
    <w:p>
      <w:pPr>
        <w:pStyle w:val="Compact"/>
        <w:numPr>
          <w:ilvl w:val="0"/>
          <w:numId w:val="1054"/>
        </w:numPr>
      </w:pPr>
      <w:r>
        <w:t xml:space="preserve">Data Type (Int, Float, …)</w:t>
      </w:r>
    </w:p>
    <w:p>
      <w:pPr>
        <w:pStyle w:val="Compact"/>
        <w:numPr>
          <w:ilvl w:val="0"/>
          <w:numId w:val="1054"/>
        </w:numPr>
      </w:pPr>
      <w:r>
        <w:t xml:space="preserve">Bits per Sample</w:t>
      </w:r>
    </w:p>
    <w:p>
      <w:pPr>
        <w:pStyle w:val="Compact"/>
        <w:numPr>
          <w:ilvl w:val="0"/>
          <w:numId w:val="1054"/>
        </w:numPr>
      </w:pPr>
      <w:r>
        <w:t xml:space="preserve">Byte Order</w:t>
      </w:r>
    </w:p>
    <w:bookmarkEnd w:id="176"/>
    <w:bookmarkStart w:id="177" w:name="assessment-33"/>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77"/>
    <w:bookmarkEnd w:id="178"/>
    <w:bookmarkStart w:id="182" w:name="sec:pxl-ploinca"/>
    <w:p>
      <w:pPr>
        <w:pStyle w:val="berschrift4"/>
      </w:pPr>
      <w:r>
        <w:rPr>
          <w:rStyle w:val="VerbatimChar"/>
        </w:rPr>
        <w:t xml:space="preserve">4.5.</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9" w:name="threshold-requirements-34"/>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6"/>
        </w:numPr>
      </w:pPr>
      <w:r>
        <w:t xml:space="preserve">Sample Type (Angle)</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w:t>
      </w:r>
    </w:p>
    <w:p>
      <w:pPr>
        <w:pStyle w:val="Compact"/>
        <w:numPr>
          <w:ilvl w:val="0"/>
          <w:numId w:val="1057"/>
        </w:numPr>
      </w:pPr>
      <w:r>
        <w:t xml:space="preserve">For maritime ORB scenes when no land areas are covered, a geoid model could be used for the calculation of the local incident angle.</w:t>
      </w:r>
    </w:p>
    <w:bookmarkEnd w:id="179"/>
    <w:bookmarkStart w:id="180" w:name="goal-requirements-34"/>
    <w:p>
      <w:pPr>
        <w:pStyle w:val="berschrift5"/>
      </w:pPr>
      <w:r>
        <w:t xml:space="preserve">Goal requirements:</w:t>
      </w:r>
    </w:p>
    <w:p>
      <w:pPr>
        <w:pStyle w:val="FirstParagraph"/>
      </w:pPr>
      <w:r>
        <w:t xml:space="preserve">As threshold.</w:t>
      </w:r>
      <w:r>
        <w:t xml:space="preserve"> </w:t>
      </w:r>
    </w:p>
    <w:bookmarkEnd w:id="180"/>
    <w:bookmarkStart w:id="181" w:name="assessment-34"/>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81"/>
    <w:bookmarkEnd w:id="182"/>
    <w:bookmarkStart w:id="186" w:name="sec:pxl-pelinca"/>
    <w:p>
      <w:pPr>
        <w:pStyle w:val="berschrift4"/>
      </w:pPr>
      <w:r>
        <w:rPr>
          <w:rStyle w:val="VerbatimChar"/>
        </w:rPr>
        <w:t xml:space="preserve">4.6.</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3" w:name="threshold-requirements-35"/>
    <w:p>
      <w:pPr>
        <w:pStyle w:val="berschrift5"/>
      </w:pPr>
      <w:r>
        <w:t xml:space="preserve">Threshold requirements:</w:t>
      </w:r>
    </w:p>
    <w:p>
      <w:pPr>
        <w:pStyle w:val="FirstParagraph"/>
      </w:pPr>
      <w:r>
        <w:t xml:space="preserve">Not required.</w:t>
      </w:r>
      <w:r>
        <w:t xml:space="preserve"> </w:t>
      </w:r>
    </w:p>
    <w:bookmarkEnd w:id="183"/>
    <w:bookmarkStart w:id="184" w:name="goal-requirements-35"/>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Compact"/>
        <w:numPr>
          <w:ilvl w:val="0"/>
          <w:numId w:val="1059"/>
        </w:numPr>
      </w:pPr>
      <w:r>
        <w:t xml:space="preserve">Reference Ellipsoid Name</w:t>
      </w:r>
    </w:p>
    <w:p>
      <w:pPr>
        <w:pStyle w:val="FirstParagraph"/>
      </w:pPr>
      <w:r>
        <w:t xml:space="preserve">Note:</w:t>
      </w:r>
    </w:p>
    <w:p>
      <w:pPr>
        <w:pStyle w:val="Compact"/>
        <w:numPr>
          <w:ilvl w:val="0"/>
          <w:numId w:val="1060"/>
        </w:numPr>
      </w:pPr>
      <w:r>
        <w:t xml:space="preserve">For maritime ORB scenes when no land areas are covered, the ellipsoidal incident angle is nearly identical to the geoid based local incident angle.</w:t>
      </w:r>
    </w:p>
    <w:bookmarkEnd w:id="184"/>
    <w:bookmarkStart w:id="185" w:name="assessment-35"/>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85"/>
    <w:bookmarkEnd w:id="186"/>
    <w:bookmarkStart w:id="190" w:name="sec:pxl-pinopow"/>
    <w:p>
      <w:pPr>
        <w:pStyle w:val="berschrift4"/>
      </w:pPr>
      <w:r>
        <w:rPr>
          <w:rStyle w:val="VerbatimChar"/>
        </w:rPr>
        <w:t xml:space="preserve">4.7.</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7" w:name="threshold-requirements-36"/>
    <w:p>
      <w:pPr>
        <w:pStyle w:val="berschrift5"/>
      </w:pPr>
      <w:r>
        <w:t xml:space="preserve">Threshold requirements:</w:t>
      </w:r>
    </w:p>
    <w:p>
      <w:pPr>
        <w:pStyle w:val="FirstParagraph"/>
      </w:pPr>
      <w:r>
        <w:t xml:space="preserve">Not required.</w:t>
      </w:r>
      <w:r>
        <w:t xml:space="preserve"> </w:t>
      </w:r>
    </w:p>
    <w:bookmarkEnd w:id="187"/>
    <w:bookmarkStart w:id="188" w:name="goal-requirements-36"/>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a simplified ellipsoid Earth model.</w:t>
      </w:r>
    </w:p>
    <w:p>
      <w:pPr>
        <w:pStyle w:val="Textkrper"/>
      </w:pPr>
      <w:r>
        <w:t xml:space="preserve">File format specifications/contents provided in metadata:</w:t>
      </w:r>
    </w:p>
    <w:p>
      <w:pPr>
        <w:pStyle w:val="Compact"/>
        <w:numPr>
          <w:ilvl w:val="0"/>
          <w:numId w:val="1062"/>
        </w:numPr>
      </w:pPr>
      <w:r>
        <w:t xml:space="preserve">Sample Type (Gamma-Nought, Sigma-Nought, Beta-Nought)</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bookmarkEnd w:id="188"/>
    <w:bookmarkStart w:id="189" w:name="assessment-36"/>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9"/>
    <w:bookmarkEnd w:id="190"/>
    <w:bookmarkStart w:id="194" w:name="sec:pxl-gasiri"/>
    <w:p>
      <w:pPr>
        <w:pStyle w:val="berschrift4"/>
      </w:pPr>
      <w:r>
        <w:rPr>
          <w:rStyle w:val="VerbatimChar"/>
        </w:rPr>
        <w:t xml:space="preserve">4.8.</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91" w:name="threshold-requirements-37"/>
    <w:p>
      <w:pPr>
        <w:pStyle w:val="berschrift5"/>
      </w:pPr>
      <w:r>
        <w:t xml:space="preserve">Threshold requirements:</w:t>
      </w:r>
    </w:p>
    <w:p>
      <w:pPr>
        <w:pStyle w:val="FirstParagraph"/>
      </w:pPr>
      <w:r>
        <w:t xml:space="preserve">Not required.</w:t>
      </w:r>
      <w:r>
        <w:t xml:space="preserve"> </w:t>
      </w:r>
    </w:p>
    <w:bookmarkEnd w:id="191"/>
    <w:bookmarkStart w:id="192" w:name="goal-requirements-37"/>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4"/>
        </w:numPr>
      </w:pPr>
      <w:r>
        <w:t xml:space="preserve">Sample Type (Ratio)</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bookmarkEnd w:id="192"/>
    <w:bookmarkStart w:id="193" w:name="assessment-37"/>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93"/>
    <w:bookmarkEnd w:id="194"/>
    <w:bookmarkStart w:id="198" w:name="sec:pxl-pacqid"/>
    <w:p>
      <w:pPr>
        <w:pStyle w:val="berschrift4"/>
      </w:pPr>
      <w:r>
        <w:rPr>
          <w:rStyle w:val="VerbatimChar"/>
        </w:rPr>
        <w:t xml:space="preserve">4.9.</w:t>
      </w:r>
      <w:r>
        <w:t xml:space="preserve"> </w:t>
      </w:r>
      <w:r>
        <w:t xml:space="preserve">Acquisition ID Image</w:t>
      </w:r>
    </w:p>
    <w:p>
      <w:pPr>
        <w:pStyle w:val="FirstParagraph"/>
      </w:pPr>
      <w:r>
        <w:t xml:space="preserve">Identifier:</w:t>
      </w:r>
      <w:r>
        <w:t xml:space="preserve"> </w:t>
      </w:r>
      <w:r>
        <w:rPr>
          <w:rStyle w:val="VerbatimChar"/>
        </w:rPr>
        <w:t xml:space="preserve">pxl-pacqid</w:t>
      </w:r>
    </w:p>
    <w:bookmarkStart w:id="195" w:name="threshold-requirements-38"/>
    <w:p>
      <w:pPr>
        <w:pStyle w:val="berschrift5"/>
      </w:pPr>
      <w:r>
        <w:t xml:space="preserve">Threshold requirements:</w:t>
      </w:r>
    </w:p>
    <w:p>
      <w:pPr>
        <w:pStyle w:val="FirstParagraph"/>
      </w:pPr>
      <w:r>
        <w:rPr>
          <w:b/>
          <w:bCs/>
        </w:rPr>
        <w:t xml:space="preserve">Required for multi-source product only.</w:t>
      </w:r>
    </w:p>
    <w:p>
      <w:pPr>
        <w:pStyle w:val="Textkrper"/>
      </w:pPr>
      <w:r>
        <w:t xml:space="preserve">Acquisition ID, or acquisition date, for each pixel is identified.</w:t>
      </w:r>
    </w:p>
    <w:p>
      <w:pPr>
        <w:pStyle w:val="Textkrper"/>
      </w:pPr>
      <w:r>
        <w:t xml:space="preserve">In case of multi-temporal image stacks, use a source acquisition ID (i.e., Section </w:t>
      </w:r>
      <w:r>
        <w:t xml:space="preserve">“</w:t>
      </w:r>
      <w:hyperlink w:anchor="sec:src-macqid">
        <w:r>
          <w:rPr>
            <w:rStyle w:val="Hyperlink"/>
          </w:rPr>
          <w:t xml:space="preserve">Source Metadata: Acquisition ID</w:t>
        </w:r>
      </w:hyperlink>
      <w:r>
        <w:t xml:space="preserve">”</w:t>
      </w:r>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(e.g., pixels averaged in image overlap zones) are flagged with a pre-set pixel value that is provided in the metadata.</w:t>
      </w:r>
    </w:p>
    <w:p>
      <w:pPr>
        <w:pStyle w:val="Textkrper"/>
      </w:pPr>
      <w:r>
        <w:t xml:space="preserve">File format specifications/contents provided in metadata:</w:t>
      </w:r>
    </w:p>
    <w:p>
      <w:pPr>
        <w:pStyle w:val="Compact"/>
        <w:numPr>
          <w:ilvl w:val="0"/>
          <w:numId w:val="1066"/>
        </w:numPr>
      </w:pPr>
      <w:r>
        <w:t xml:space="preserve">Sample type (Day, Time, ID)</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bookmarkEnd w:id="195"/>
    <w:bookmarkStart w:id="196" w:name="goal-requirements-38"/>
    <w:p>
      <w:pPr>
        <w:pStyle w:val="berschrift5"/>
      </w:pPr>
      <w:r>
        <w:t xml:space="preserve">Goal requirements:</w:t>
      </w:r>
    </w:p>
    <w:p>
      <w:pPr>
        <w:pStyle w:val="FirstParagraph"/>
      </w:pPr>
      <w:r>
        <w:t xml:space="preserve">In case of image composites, the sources for each pixel are uniquely identified.</w:t>
      </w:r>
    </w:p>
    <w:bookmarkEnd w:id="196"/>
    <w:bookmarkStart w:id="197" w:name="assessment-38"/>
    <w:p>
      <w:pPr>
        <w:pStyle w:val="berschrift5"/>
      </w:pPr>
      <w:r>
        <w:t xml:space="preserve">Assessment:</w:t>
      </w:r>
    </w:p>
    <w:p>
      <w:pPr>
        <w:pStyle w:val="Compact"/>
        <w:numPr>
          <w:ilvl w:val="0"/>
          <w:numId w:val="1067"/>
        </w:numPr>
      </w:pPr>
      <w:r>
        <w:t xml:space="preserve">Threshold Self-Assessment:</w:t>
      </w:r>
    </w:p>
    <w:p>
      <w:pPr>
        <w:pStyle w:val="Compact"/>
        <w:numPr>
          <w:ilvl w:val="0"/>
          <w:numId w:val="1067"/>
        </w:numPr>
      </w:pPr>
      <w:r>
        <w:t xml:space="preserve">Goal Self-Assessment:</w:t>
      </w:r>
    </w:p>
    <w:p>
      <w:pPr>
        <w:pStyle w:val="Compact"/>
        <w:numPr>
          <w:ilvl w:val="0"/>
          <w:numId w:val="1067"/>
        </w:numPr>
      </w:pPr>
      <w:r>
        <w:t xml:space="preserve">Self-Assessment Explanation/ Justification:</w:t>
      </w:r>
    </w:p>
    <w:p>
      <w:pPr>
        <w:pStyle w:val="Compact"/>
        <w:numPr>
          <w:ilvl w:val="0"/>
          <w:numId w:val="1067"/>
        </w:numPr>
      </w:pPr>
      <w:r>
        <w:t xml:space="preserve">Recommended Requirement Modification:</w:t>
      </w:r>
    </w:p>
    <w:p>
      <w:r>
        <w:pict>
          <v:rect style="width:0;height:1.5pt" o:hralign="center" o:hrstd="t" o:hr="t"/>
        </w:pict>
      </w:r>
    </w:p>
    <w:bookmarkEnd w:id="197"/>
    <w:bookmarkEnd w:id="198"/>
    <w:bookmarkStart w:id="202" w:name="sec:pxl-pidem"/>
    <w:p>
      <w:pPr>
        <w:pStyle w:val="berschrift4"/>
      </w:pPr>
      <w:r>
        <w:rPr>
          <w:rStyle w:val="VerbatimChar"/>
        </w:rPr>
        <w:t xml:space="preserve">4.10.</w:t>
      </w:r>
      <w:r>
        <w:t xml:space="preserve"> </w:t>
      </w:r>
      <w:r>
        <w:t xml:space="preserve">Per-Pixel DEM</w:t>
      </w:r>
    </w:p>
    <w:p>
      <w:pPr>
        <w:pStyle w:val="FirstParagraph"/>
      </w:pPr>
      <w:r>
        <w:t xml:space="preserve">Identifier:</w:t>
      </w:r>
      <w:r>
        <w:t xml:space="preserve"> </w:t>
      </w:r>
      <w:r>
        <w:rPr>
          <w:rStyle w:val="VerbatimChar"/>
        </w:rPr>
        <w:t xml:space="preserve">pxl-pidem</w:t>
      </w:r>
    </w:p>
    <w:bookmarkStart w:id="199" w:name="threshold-requirements-39"/>
    <w:p>
      <w:pPr>
        <w:pStyle w:val="berschrift5"/>
      </w:pPr>
      <w:r>
        <w:t xml:space="preserve">Threshold requirements:</w:t>
      </w:r>
    </w:p>
    <w:p>
      <w:pPr>
        <w:pStyle w:val="FirstParagraph"/>
      </w:pPr>
      <w:r>
        <w:t xml:space="preserve">Not required.</w:t>
      </w:r>
      <w:r>
        <w:t xml:space="preserve"> </w:t>
      </w:r>
    </w:p>
    <w:bookmarkEnd w:id="199"/>
    <w:bookmarkStart w:id="200" w:name="goal-requirements-39"/>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Can also be provided with ORB products containing land areas.</w:t>
      </w:r>
    </w:p>
    <w:p>
      <w:pPr>
        <w:pStyle w:val="Textkrper"/>
      </w:pPr>
      <w:r>
        <w:t xml:space="preserve">File format specifications/contents provided in metadata:</w:t>
      </w:r>
    </w:p>
    <w:p>
      <w:pPr>
        <w:pStyle w:val="Compact"/>
        <w:numPr>
          <w:ilvl w:val="0"/>
          <w:numId w:val="1068"/>
        </w:numPr>
      </w:pPr>
      <w:r>
        <w:t xml:space="preserve">Sample Type (Height)</w:t>
      </w:r>
    </w:p>
    <w:p>
      <w:pPr>
        <w:pStyle w:val="Compact"/>
        <w:numPr>
          <w:ilvl w:val="0"/>
          <w:numId w:val="1068"/>
        </w:numPr>
      </w:pPr>
      <w:r>
        <w:t xml:space="preserve">Data Format (GeoTIFF, HDF5, NetCDF, …)</w:t>
      </w:r>
    </w:p>
    <w:p>
      <w:pPr>
        <w:pStyle w:val="Compact"/>
        <w:numPr>
          <w:ilvl w:val="0"/>
          <w:numId w:val="1068"/>
        </w:numPr>
      </w:pPr>
      <w:r>
        <w:t xml:space="preserve">Data Type (Int, Float, …)</w:t>
      </w:r>
    </w:p>
    <w:p>
      <w:pPr>
        <w:pStyle w:val="Compact"/>
        <w:numPr>
          <w:ilvl w:val="0"/>
          <w:numId w:val="1068"/>
        </w:numPr>
      </w:pPr>
      <w:r>
        <w:t xml:space="preserve">Bits per Sample</w:t>
      </w:r>
    </w:p>
    <w:p>
      <w:pPr>
        <w:pStyle w:val="Compact"/>
        <w:numPr>
          <w:ilvl w:val="0"/>
          <w:numId w:val="1068"/>
        </w:numPr>
      </w:pPr>
      <w:r>
        <w:t xml:space="preserve">Byte Order</w:t>
      </w:r>
    </w:p>
    <w:bookmarkEnd w:id="200"/>
    <w:bookmarkStart w:id="201" w:name="assessment-39"/>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bookmarkEnd w:id="201"/>
    <w:bookmarkEnd w:id="202"/>
    <w:bookmarkEnd w:id="203"/>
    <w:bookmarkStart w:id="232"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7" w:name="sec:rcm-cngform"/>
    <w:p>
      <w:pPr>
        <w:pStyle w:val="berschrift4"/>
      </w:pPr>
      <w:r>
        <w:rPr>
          <w:rStyle w:val="VerbatimChar"/>
        </w:rPr>
        <w:t xml:space="preserve">5.1.</w:t>
      </w:r>
      <w:r>
        <w:t xml:space="preserve"> </w:t>
      </w:r>
      <w:r>
        <w:t xml:space="preserve">Cloud Optimized Formats</w:t>
      </w:r>
    </w:p>
    <w:p>
      <w:pPr>
        <w:pStyle w:val="FirstParagraph"/>
      </w:pPr>
      <w:r>
        <w:t xml:space="preserve">Identifier:</w:t>
      </w:r>
      <w:r>
        <w:t xml:space="preserve"> </w:t>
      </w:r>
      <w:r>
        <w:rPr>
          <w:rStyle w:val="VerbatimChar"/>
        </w:rPr>
        <w:t xml:space="preserve">rcm-cngform</w:t>
      </w:r>
    </w:p>
    <w:bookmarkStart w:id="204" w:name="threshold-requirements-40"/>
    <w:p>
      <w:pPr>
        <w:pStyle w:val="berschrift5"/>
      </w:pPr>
      <w:r>
        <w:t xml:space="preserve">Threshold requirements:</w:t>
      </w:r>
    </w:p>
    <w:p>
      <w:pPr>
        <w:pStyle w:val="FirstParagraph"/>
      </w:pPr>
      <w:r>
        <w:t xml:space="preserve">Not required.</w:t>
      </w:r>
      <w:r>
        <w:t xml:space="preserve"> </w:t>
      </w:r>
    </w:p>
    <w:bookmarkEnd w:id="204"/>
    <w:bookmarkStart w:id="205" w:name="goal-requirements-40"/>
    <w:p>
      <w:pPr>
        <w:pStyle w:val="berschrift5"/>
      </w:pPr>
      <w:r>
        <w:t xml:space="preserve">Goal requirements:</w:t>
      </w:r>
    </w:p>
    <w:p>
      <w:pPr>
        <w:pStyle w:val="FirstParagraph"/>
      </w:pPr>
      <w:r>
        <w:t xml:space="preserve">All files are provided using cloud-optimized file formats.</w:t>
      </w:r>
    </w:p>
    <w:bookmarkEnd w:id="205"/>
    <w:bookmarkStart w:id="206" w:name="assessment-40"/>
    <w:p>
      <w:pPr>
        <w:pStyle w:val="berschrift5"/>
      </w:pPr>
      <w:r>
        <w:t xml:space="preserve">Assessment:</w:t>
      </w:r>
    </w:p>
    <w:p>
      <w:pPr>
        <w:pStyle w:val="Compact"/>
        <w:numPr>
          <w:ilvl w:val="0"/>
          <w:numId w:val="1070"/>
        </w:numPr>
      </w:pPr>
      <w:r>
        <w:t xml:space="preserve">Threshold Self-Assessment:</w:t>
      </w:r>
    </w:p>
    <w:p>
      <w:pPr>
        <w:pStyle w:val="Compact"/>
        <w:numPr>
          <w:ilvl w:val="0"/>
          <w:numId w:val="1070"/>
        </w:numPr>
      </w:pPr>
      <w:r>
        <w:t xml:space="preserve">Goal Self-Assessment:</w:t>
      </w:r>
    </w:p>
    <w:p>
      <w:pPr>
        <w:pStyle w:val="Compact"/>
        <w:numPr>
          <w:ilvl w:val="0"/>
          <w:numId w:val="1070"/>
        </w:numPr>
      </w:pPr>
      <w:r>
        <w:t xml:space="preserve">Self-Assessment Explanation/ Justification:</w:t>
      </w:r>
    </w:p>
    <w:p>
      <w:pPr>
        <w:pStyle w:val="Compact"/>
        <w:numPr>
          <w:ilvl w:val="0"/>
          <w:numId w:val="1070"/>
        </w:numPr>
      </w:pPr>
      <w:r>
        <w:t xml:space="preserve">Recommended Requirement Modification:</w:t>
      </w:r>
    </w:p>
    <w:p>
      <w:r>
        <w:pict>
          <v:rect style="width:0;height:1.5pt" o:hralign="center" o:hrstd="t" o:hr="t"/>
        </w:pict>
      </w:r>
    </w:p>
    <w:bookmarkEnd w:id="206"/>
    <w:bookmarkEnd w:id="207"/>
    <w:bookmarkStart w:id="211" w:name="sec:rcm-backsca-pol"/>
    <w:p>
      <w:pPr>
        <w:pStyle w:val="berschrift4"/>
      </w:pPr>
      <w:r>
        <w:rPr>
          <w:rStyle w:val="VerbatimChar"/>
        </w:rPr>
        <w:t xml:space="preserve">5.2.</w:t>
      </w:r>
      <w:r>
        <w:t xml:space="preserve"> </w:t>
      </w:r>
      <w:r>
        <w:t xml:space="preserve">Backscatter Measurements (POL)</w:t>
      </w:r>
    </w:p>
    <w:p>
      <w:pPr>
        <w:pStyle w:val="FirstParagraph"/>
      </w:pPr>
      <w:r>
        <w:t xml:space="preserve">Identifier:</w:t>
      </w:r>
      <w:r>
        <w:t xml:space="preserve"> </w:t>
      </w:r>
      <w:r>
        <w:rPr>
          <w:rStyle w:val="VerbatimChar"/>
        </w:rPr>
        <w:t xml:space="preserve">rcm-backsca-pol</w:t>
      </w:r>
    </w:p>
    <w:bookmarkStart w:id="208" w:name="threshold-requirements-41"/>
    <w:p>
      <w:pPr>
        <w:pStyle w:val="berschrift5"/>
      </w:pPr>
      <w:r>
        <w:t xml:space="preserve">Threshold requirements:</w:t>
      </w:r>
    </w:p>
    <w:p>
      <w:pPr>
        <w:pStyle w:val="FirstParagraph"/>
      </w:pPr>
      <w:r>
        <w:t xml:space="preserve">Measurements can be one of the following types or both:</w:t>
      </w:r>
    </w:p>
    <w:p>
      <w:pPr>
        <w:pStyle w:val="Compact"/>
        <w:numPr>
          <w:ilvl w:val="0"/>
          <w:numId w:val="1071"/>
        </w:numPr>
      </w:pPr>
      <w:r>
        <w:rPr>
          <w:b/>
          <w:bCs/>
        </w:rPr>
        <w:t xml:space="preserve">Normalised Radar Covariance Matrix (CovMat)</w:t>
      </w:r>
      <w:r>
        <w:t xml:space="preserve"> </w:t>
      </w:r>
      <w:r>
        <w:t xml:space="preserve">Diagonal (equivalent to NRB) and upper diagonal elements of the terrain-flattened Gamma-Nought (</w:t>
      </w:r>
      <m:oMath>
        <m:sSubSup>
          <m:e>
            <m:r>
              <m:t>γ</m:t>
            </m:r>
          </m:e>
          <m:sub>
            <m:r>
              <m:t>T</m:t>
            </m:r>
          </m:sub>
          <m:sup>
            <m:r>
              <m:t>0</m:t>
            </m:r>
          </m:sup>
        </m:sSubSup>
      </m:oMath>
      <w:r>
        <w:t xml:space="preserve">) Covariance Matrix are provided for coherent dual (e.g., HH-HV, VV-VH, or …) and fully polarimetric (e.g., HH-HV-VH-VV) acquisitions.</w:t>
      </w:r>
    </w:p>
    <w:p>
      <w:pPr>
        <w:pStyle w:val="Compact"/>
        <w:numPr>
          <w:ilvl w:val="0"/>
          <w:numId w:val="1071"/>
        </w:numPr>
      </w:pPr>
      <w:r>
        <w:rPr>
          <w:b/>
          <w:bCs/>
        </w:rPr>
        <w:t xml:space="preserve">Polarimetric Radar Decomposition (PRD)</w:t>
      </w:r>
      <w:r>
        <w:t xml:space="preserve"> </w:t>
      </w:r>
      <w:r>
        <w:t xml:space="preserve">The individual components of the polarimetric decomposition obtained from the terrain-flattened (Gamma-Nought,</w:t>
      </w:r>
      <w:r>
        <w:t xml:space="preserve"> </w:t>
      </w:r>
      <m:oMath>
        <m:sSubSup>
          <m:e>
            <m:r>
              <m:t>γ</m:t>
            </m:r>
          </m:e>
          <m:sub>
            <m:r>
              <m:t>T</m:t>
            </m:r>
          </m:sub>
          <m:sup>
            <m:r>
              <m:t>0</m:t>
            </m:r>
          </m:sup>
        </m:sSubSup>
      </m:oMath>
      <w:r>
        <w:t xml:space="preserve">) covariance matrix.</w:t>
      </w:r>
    </w:p>
    <w:p>
      <w:pPr>
        <w:pStyle w:val="FirstParagraph"/>
      </w:pPr>
      <w:r>
        <w:t xml:space="preserve">File format specifications/contents provided in metadata:</w:t>
      </w:r>
    </w:p>
    <w:p>
      <w:pPr>
        <w:pStyle w:val="Compact"/>
        <w:numPr>
          <w:ilvl w:val="0"/>
          <w:numId w:val="1072"/>
        </w:numPr>
      </w:pPr>
      <w:r>
        <w:t xml:space="preserve">Measurement Type (CovMat, PRD)</w:t>
      </w:r>
    </w:p>
    <w:p>
      <w:pPr>
        <w:pStyle w:val="Compact"/>
        <w:numPr>
          <w:ilvl w:val="0"/>
          <w:numId w:val="1072"/>
        </w:numPr>
      </w:pPr>
      <w:r>
        <w:t xml:space="preserve">Measurement convention unit (linear amplitude, linear power, angle)</w:t>
      </w:r>
    </w:p>
    <w:p>
      <w:pPr>
        <w:pStyle w:val="Compact"/>
        <w:numPr>
          <w:ilvl w:val="0"/>
          <w:numId w:val="1072"/>
        </w:numPr>
      </w:pPr>
      <w:r>
        <w:t xml:space="preserve">Individual covariance matrix element or/and Individual component of the decomposition (C3m11, C3m12, … or H, A, alpha, or …)</w:t>
      </w:r>
    </w:p>
    <w:p>
      <w:pPr>
        <w:pStyle w:val="Compact"/>
        <w:numPr>
          <w:ilvl w:val="0"/>
          <w:numId w:val="1072"/>
        </w:numPr>
      </w:pPr>
      <w:r>
        <w:t xml:space="preserve">Data Format (GeoTIFF, HDF5, NetCDF, …)</w:t>
      </w:r>
    </w:p>
    <w:p>
      <w:pPr>
        <w:pStyle w:val="Compact"/>
        <w:numPr>
          <w:ilvl w:val="0"/>
          <w:numId w:val="1072"/>
        </w:numPr>
      </w:pPr>
      <w:r>
        <w:t xml:space="preserve">Data Type (Int, Float, Complex, …)</w:t>
      </w:r>
    </w:p>
    <w:p>
      <w:pPr>
        <w:pStyle w:val="Compact"/>
        <w:numPr>
          <w:ilvl w:val="0"/>
          <w:numId w:val="1072"/>
        </w:numPr>
      </w:pPr>
      <w:r>
        <w:t xml:space="preserve">Bits per Sample</w:t>
      </w:r>
    </w:p>
    <w:p>
      <w:pPr>
        <w:pStyle w:val="Compact"/>
        <w:numPr>
          <w:ilvl w:val="0"/>
          <w:numId w:val="1072"/>
        </w:numPr>
      </w:pPr>
      <w:r>
        <w:t xml:space="preserve">Byte Order</w:t>
      </w:r>
      <w:r>
        <w:t xml:space="preserve"> </w:t>
      </w:r>
      <w:r>
        <w:t xml:space="preserve"># todo: add glossary entries for BIP, BIL, BSQ?</w:t>
      </w:r>
    </w:p>
    <w:p>
      <w:pPr>
        <w:pStyle w:val="Compact"/>
        <w:numPr>
          <w:ilvl w:val="0"/>
          <w:numId w:val="1072"/>
        </w:numPr>
      </w:pPr>
      <w:r>
        <w:t xml:space="preserve">|-</w:t>
      </w:r>
      <w:r>
        <w:t xml:space="preserve"> </w:t>
      </w:r>
      <w:r>
        <w:t xml:space="preserve">It is recommended to keep CovMat or PRD measurement files separated.</w:t>
      </w:r>
      <w:r>
        <w:t xml:space="preserve"> </w:t>
      </w:r>
      <w:r>
        <w:t xml:space="preserve">Otherwise, specify the multi-channel format order (BIP, BIL, BSQ).</w:t>
      </w:r>
    </w:p>
    <w:bookmarkEnd w:id="208"/>
    <w:bookmarkStart w:id="209" w:name="goal-requirements-41"/>
    <w:p>
      <w:pPr>
        <w:pStyle w:val="berschrift5"/>
      </w:pPr>
      <w:r>
        <w:t xml:space="preserve">Goal requirements:</w:t>
      </w:r>
    </w:p>
    <w:p>
      <w:pPr>
        <w:pStyle w:val="FirstParagraph"/>
      </w:pPr>
      <w:r>
        <w:t xml:space="preserve">As threshold.</w:t>
      </w:r>
      <w:r>
        <w:t xml:space="preserve"> </w:t>
      </w:r>
    </w:p>
    <w:bookmarkEnd w:id="209"/>
    <w:bookmarkStart w:id="210" w:name="assessment-41"/>
    <w:p>
      <w:pPr>
        <w:pStyle w:val="berschrift5"/>
      </w:pPr>
      <w:r>
        <w:t xml:space="preserve">Assessment:</w:t>
      </w:r>
    </w:p>
    <w:p>
      <w:pPr>
        <w:pStyle w:val="Compact"/>
        <w:numPr>
          <w:ilvl w:val="0"/>
          <w:numId w:val="1073"/>
        </w:numPr>
      </w:pPr>
      <w:r>
        <w:t xml:space="preserve">Threshold Self-Assessment:</w:t>
      </w:r>
    </w:p>
    <w:p>
      <w:pPr>
        <w:pStyle w:val="Compact"/>
        <w:numPr>
          <w:ilvl w:val="0"/>
          <w:numId w:val="1073"/>
        </w:numPr>
      </w:pPr>
      <w:r>
        <w:t xml:space="preserve">Goal Self-Assessment:</w:t>
      </w:r>
    </w:p>
    <w:p>
      <w:pPr>
        <w:pStyle w:val="Compact"/>
        <w:numPr>
          <w:ilvl w:val="0"/>
          <w:numId w:val="1073"/>
        </w:numPr>
      </w:pPr>
      <w:r>
        <w:t xml:space="preserve">Self-Assessment Explanation/ Justification:</w:t>
      </w:r>
    </w:p>
    <w:p>
      <w:pPr>
        <w:pStyle w:val="Compact"/>
        <w:numPr>
          <w:ilvl w:val="0"/>
          <w:numId w:val="1073"/>
        </w:numPr>
      </w:pPr>
      <w:r>
        <w:t xml:space="preserve">Recommended Requirement Modification:</w:t>
      </w:r>
    </w:p>
    <w:p>
      <w:r>
        <w:pict>
          <v:rect style="width:0;height:1.5pt" o:hralign="center" o:hrstd="t" o:hr="t"/>
        </w:pict>
      </w:r>
    </w:p>
    <w:bookmarkEnd w:id="210"/>
    <w:bookmarkEnd w:id="211"/>
    <w:bookmarkStart w:id="215" w:name="sec:rcm-scaconv"/>
    <w:p>
      <w:pPr>
        <w:pStyle w:val="berschrift4"/>
      </w:pPr>
      <w:r>
        <w:rPr>
          <w:rStyle w:val="VerbatimChar"/>
        </w:rPr>
        <w:t xml:space="preserve">5.3.</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12" w:name="threshold-requirements-42"/>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12"/>
    <w:bookmarkStart w:id="213" w:name="goal-requirements-42"/>
    <w:p>
      <w:pPr>
        <w:pStyle w:val="berschrift5"/>
      </w:pPr>
      <w:r>
        <w:t xml:space="preserve">Goal requirements:</w:t>
      </w:r>
    </w:p>
    <w:p>
      <w:pPr>
        <w:pStyle w:val="FirstParagraph"/>
      </w:pPr>
      <w:r>
        <w:t xml:space="preserve">As threshold, but use of float32.</w:t>
      </w:r>
    </w:p>
    <w:bookmarkEnd w:id="213"/>
    <w:bookmarkStart w:id="214" w:name="assessment-42"/>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14"/>
    <w:bookmarkEnd w:id="215"/>
    <w:bookmarkStart w:id="219" w:name="sec:rcm-noiser"/>
    <w:p>
      <w:pPr>
        <w:pStyle w:val="berschrift4"/>
      </w:pPr>
      <w:r>
        <w:rPr>
          <w:rStyle w:val="VerbatimChar"/>
        </w:rPr>
        <w:t xml:space="preserve">5.4.</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16" w:name="threshold-requirements-43"/>
    <w:p>
      <w:pPr>
        <w:pStyle w:val="berschrift5"/>
      </w:pPr>
      <w:r>
        <w:t xml:space="preserve">Threshold requirements:</w:t>
      </w:r>
    </w:p>
    <w:p>
      <w:pPr>
        <w:pStyle w:val="FirstParagraph"/>
      </w:pPr>
      <w:r>
        <w:t xml:space="preserve">Flag if noise removal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5"/>
        </w:numPr>
      </w:pPr>
      <w:r>
        <w:t xml:space="preserve">Thermal noise removal and image border noise removal to remove overall scene noise and scene edge artefacts, respectively.</w:t>
      </w:r>
    </w:p>
    <w:bookmarkEnd w:id="216"/>
    <w:bookmarkStart w:id="217" w:name="goal-requirements-43"/>
    <w:p>
      <w:pPr>
        <w:pStyle w:val="berschrift5"/>
      </w:pPr>
      <w:r>
        <w:t xml:space="preserve">Goal requirements:</w:t>
      </w:r>
    </w:p>
    <w:p>
      <w:pPr>
        <w:pStyle w:val="FirstParagraph"/>
      </w:pPr>
      <w:r>
        <w:t xml:space="preserve">As threshold.</w:t>
      </w:r>
      <w:r>
        <w:t xml:space="preserve"> </w:t>
      </w:r>
    </w:p>
    <w:bookmarkEnd w:id="217"/>
    <w:bookmarkStart w:id="218" w:name="assessment-43"/>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18"/>
    <w:bookmarkEnd w:id="219"/>
    <w:bookmarkStart w:id="223" w:name="sec:rcm-radtalg"/>
    <w:p>
      <w:pPr>
        <w:pStyle w:val="berschrift4"/>
      </w:pPr>
      <w:r>
        <w:rPr>
          <w:rStyle w:val="VerbatimChar"/>
        </w:rPr>
        <w:t xml:space="preserve">5.5.</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w:t>
      </w:r>
    </w:p>
    <w:bookmarkStart w:id="220" w:name="threshold-requirements-44"/>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77"/>
        </w:numPr>
      </w:pPr>
      <w:r>
        <w:t xml:space="preserve">a citable peer-reviewed algorithm</w:t>
      </w:r>
    </w:p>
    <w:p>
      <w:pPr>
        <w:pStyle w:val="Compact"/>
        <w:numPr>
          <w:ilvl w:val="0"/>
          <w:numId w:val="1077"/>
        </w:numPr>
      </w:pPr>
      <w:r>
        <w:t xml:space="preserve">technical documentation regarding the algorithm used to generate the backscatter estimates is expressed as URLs or DOIs</w:t>
      </w:r>
    </w:p>
    <w:p>
      <w:pPr>
        <w:pStyle w:val="Compact"/>
        <w:numPr>
          <w:ilvl w:val="0"/>
          <w:numId w:val="1077"/>
        </w:numPr>
      </w:pPr>
      <w:r>
        <w:t xml:space="preserve">the sources of auxiliary data used to make corrections</w:t>
      </w:r>
    </w:p>
    <w:p>
      <w:pPr>
        <w:pStyle w:val="FirstParagraph"/>
      </w:pPr>
      <w:r>
        <w:t xml:space="preserve">Note:</w:t>
      </w:r>
    </w:p>
    <w:p>
      <w:pPr>
        <w:pStyle w:val="Compact"/>
        <w:numPr>
          <w:ilvl w:val="0"/>
          <w:numId w:val="1078"/>
        </w:numPr>
      </w:pPr>
      <w:r>
        <w:t xml:space="preserve">Examples of technical documentation include an Algorithm, Theoretical Basis Document, product user guide, etc.</w:t>
      </w:r>
    </w:p>
    <w:bookmarkEnd w:id="220"/>
    <w:bookmarkStart w:id="221" w:name="goal-requirements-44"/>
    <w:p>
      <w:pPr>
        <w:pStyle w:val="berschrift5"/>
      </w:pPr>
      <w:r>
        <w:t xml:space="preserve">Goal requirements:</w:t>
      </w:r>
    </w:p>
    <w:p>
      <w:pPr>
        <w:pStyle w:val="FirstParagraph"/>
      </w:pPr>
      <w:r>
        <w:t xml:space="preserve">As threshold.</w:t>
      </w:r>
      <w:r>
        <w:t xml:space="preserve"> </w:t>
      </w:r>
    </w:p>
    <w:bookmarkEnd w:id="221"/>
    <w:bookmarkStart w:id="222" w:name="assessment-44"/>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22"/>
    <w:bookmarkEnd w:id="223"/>
    <w:bookmarkStart w:id="227" w:name="sec:rcm-radacc-sar"/>
    <w:p>
      <w:pPr>
        <w:pStyle w:val="berschrift4"/>
      </w:pPr>
      <w:r>
        <w:rPr>
          <w:rStyle w:val="VerbatimChar"/>
        </w:rPr>
        <w:t xml:space="preserve">5.6.</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25"/>
    <w:bookmarkStart w:id="226" w:name="assessment-45"/>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26"/>
    <w:bookmarkEnd w:id="227"/>
    <w:bookmarkStart w:id="231" w:name="sec:rcm-flapha"/>
    <w:p>
      <w:pPr>
        <w:pStyle w:val="berschrift4"/>
      </w:pPr>
      <w:r>
        <w:rPr>
          <w:rStyle w:val="VerbatimChar"/>
        </w:rPr>
        <w:t xml:space="preserve">5.7.</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 Alternative to GSLC product for NRB and POL products</w:t>
      </w:r>
    </w:p>
    <w:bookmarkStart w:id="228" w:name="threshold-requirements-46"/>
    <w:p>
      <w:pPr>
        <w:pStyle w:val="berschrift5"/>
      </w:pPr>
      <w:r>
        <w:t xml:space="preserve">Threshold requirements:</w:t>
      </w:r>
    </w:p>
    <w:p>
      <w:pPr>
        <w:pStyle w:val="FirstParagraph"/>
      </w:pPr>
      <w:r>
        <w:t xml:space="preserve">Not required.</w:t>
      </w:r>
      <w:r>
        <w:t xml:space="preserve"> </w:t>
      </w:r>
    </w:p>
    <w:bookmarkEnd w:id="228"/>
    <w:bookmarkStart w:id="229" w:name="goal-requirements-46"/>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Section </w:t>
      </w:r>
      <w:r>
        <w:t xml:space="preserve">“</w:t>
      </w:r>
      <w:hyperlink w:anchor="sec:annex-sar-topographic-phase-removal">
        <w:r>
          <w:rPr>
            <w:rStyle w:val="Hyperlink"/>
          </w:rPr>
          <w:t xml:space="preserve">Topographic phase removal</w:t>
        </w:r>
      </w:hyperlink>
      <w:r>
        <w:t xml:space="preserve">”</w:t>
      </w:r>
      <w:r>
        <w:t xml:space="preserve">).</w:t>
      </w:r>
      <w:r>
        <w:t xml:space="preserve"> </w:t>
      </w:r>
      <w:r>
        <w:t xml:space="preserve">The use of the Flattened Phase with the NRB or POL intensity (Section </w:t>
      </w:r>
      <w:r>
        <w:t xml:space="preserve">“</w:t>
      </w:r>
      <w:hyperlink w:anchor="sec:rcm">
        <w:r>
          <w:rPr>
            <w:rStyle w:val="Hyperlink"/>
          </w:rPr>
          <w:t xml:space="preserve">Radiometrically Corrected Measurements</w:t>
        </w:r>
      </w:hyperlink>
      <w:r>
        <w:t xml:space="preserve">”</w:t>
      </w:r>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1"/>
        </w:numPr>
      </w:pPr>
      <w:r>
        <w:t xml:space="preserve">Measurement Type (Flattened Phase)</w:t>
      </w:r>
    </w:p>
    <w:p>
      <w:pPr>
        <w:pStyle w:val="Compact"/>
        <w:numPr>
          <w:ilvl w:val="0"/>
          <w:numId w:val="1081"/>
        </w:numPr>
      </w:pPr>
      <w:r>
        <w:t xml:space="preserve">Reference Polarization (HH/HV/VV/VH)</w:t>
      </w:r>
    </w:p>
    <w:p>
      <w:pPr>
        <w:pStyle w:val="Compact"/>
        <w:numPr>
          <w:ilvl w:val="0"/>
          <w:numId w:val="1081"/>
        </w:numPr>
      </w:pPr>
      <w:r>
        <w:t xml:space="preserve">Data Format (GeoTIFF, HDF5, NetCDF, …)</w:t>
      </w:r>
    </w:p>
    <w:p>
      <w:pPr>
        <w:pStyle w:val="Compact"/>
        <w:numPr>
          <w:ilvl w:val="0"/>
          <w:numId w:val="1081"/>
        </w:numPr>
      </w:pPr>
      <w:r>
        <w:t xml:space="preserve">Data Type (Int, Float, …)</w:t>
      </w:r>
    </w:p>
    <w:p>
      <w:pPr>
        <w:pStyle w:val="Compact"/>
        <w:numPr>
          <w:ilvl w:val="0"/>
          <w:numId w:val="1081"/>
        </w:numPr>
      </w:pPr>
      <w:r>
        <w:t xml:space="preserve">Bits per Sample</w:t>
      </w:r>
    </w:p>
    <w:p>
      <w:pPr>
        <w:pStyle w:val="Compact"/>
        <w:numPr>
          <w:ilvl w:val="0"/>
          <w:numId w:val="1081"/>
        </w:numPr>
      </w:pPr>
      <w:r>
        <w:t xml:space="preserve">Byte Order</w:t>
      </w:r>
    </w:p>
    <w:p>
      <w:pPr>
        <w:pStyle w:val="FirstParagraph"/>
      </w:pPr>
      <w:r>
        <w:t xml:space="preserve">In case of polarimetric data, indicate the reference polarization.</w:t>
      </w:r>
    </w:p>
    <w:bookmarkEnd w:id="229"/>
    <w:bookmarkStart w:id="230" w:name="assessment-46"/>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bookmarkEnd w:id="230"/>
    <w:bookmarkEnd w:id="231"/>
    <w:bookmarkEnd w:id="232"/>
    <w:bookmarkStart w:id="253" w:name="sec:gcor"/>
    <w:p>
      <w:pPr>
        <w:pStyle w:val="berschrift3"/>
      </w:pPr>
      <w:r>
        <w:rPr>
          <w:rStyle w:val="VerbatimChar"/>
        </w:rPr>
        <w:t xml:space="preserve">6.</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36"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33" w:name="threshold-requirements-47"/>
    <w:p>
      <w:pPr>
        <w:pStyle w:val="berschrift5"/>
      </w:pPr>
      <w:r>
        <w:t xml:space="preserve">Threshold requirements:</w:t>
      </w:r>
    </w:p>
    <w:p>
      <w:pPr>
        <w:pStyle w:val="FirstParagraph"/>
      </w:pPr>
      <w:r>
        <w:t xml:space="preserve">Not required.</w:t>
      </w:r>
      <w:r>
        <w:t xml:space="preserve"> </w:t>
      </w:r>
    </w:p>
    <w:bookmarkEnd w:id="233"/>
    <w:bookmarkStart w:id="234" w:name="goal-requirements-47"/>
    <w:p>
      <w:pPr>
        <w:pStyle w:val="berschrift5"/>
      </w:pPr>
      <w:r>
        <w:t xml:space="preserve">Goal requirements:</w:t>
      </w:r>
    </w:p>
    <w:p>
      <w:pPr>
        <w:pStyle w:val="FirstParagraph"/>
      </w:pPr>
      <w:r>
        <w:t xml:space="preserve">Metadata references, e.g.:</w:t>
      </w:r>
    </w:p>
    <w:p>
      <w:pPr>
        <w:pStyle w:val="Compact"/>
        <w:numPr>
          <w:ilvl w:val="0"/>
          <w:numId w:val="1083"/>
        </w:numPr>
      </w:pPr>
      <w:r>
        <w:t xml:space="preserve">A metadata citable peer-reviewed algorithm</w:t>
      </w:r>
    </w:p>
    <w:p>
      <w:pPr>
        <w:pStyle w:val="Compact"/>
        <w:numPr>
          <w:ilvl w:val="0"/>
          <w:numId w:val="1083"/>
        </w:numPr>
      </w:pPr>
      <w:r>
        <w:t xml:space="preserve">Technical documentation regarding the implementation of that algorithm expressed as URLs or DOIs</w:t>
      </w:r>
    </w:p>
    <w:p>
      <w:pPr>
        <w:pStyle w:val="Compact"/>
        <w:numPr>
          <w:ilvl w:val="0"/>
          <w:numId w:val="1083"/>
        </w:numPr>
      </w:pPr>
      <w:r>
        <w:t xml:space="preserve">The sources of auxiliary data used to make corrections</w:t>
      </w:r>
    </w:p>
    <w:p>
      <w:pPr>
        <w:pStyle w:val="Compact"/>
        <w:numPr>
          <w:ilvl w:val="0"/>
          <w:numId w:val="1083"/>
        </w:numPr>
      </w:pPr>
      <w:r>
        <w:t xml:space="preserve">Resampling method used for geometric processing of the source data</w:t>
      </w:r>
    </w:p>
    <w:p>
      <w:pPr>
        <w:pStyle w:val="FirstParagraph"/>
      </w:pPr>
      <w:r>
        <w:t xml:space="preserve">Note:</w:t>
      </w:r>
    </w:p>
    <w:p>
      <w:pPr>
        <w:pStyle w:val="Compact"/>
        <w:numPr>
          <w:ilvl w:val="0"/>
          <w:numId w:val="1084"/>
        </w:numPr>
      </w:pPr>
      <w:r>
        <w:t xml:space="preserve">Examples of technical documentation can include e.g., an Algorithm Theoretical Basis Document (ATBD) or a product user guide.</w:t>
      </w:r>
    </w:p>
    <w:bookmarkEnd w:id="234"/>
    <w:bookmarkStart w:id="235" w:name="assessment-47"/>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35"/>
    <w:bookmarkEnd w:id="236"/>
    <w:bookmarkStart w:id="240"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 For products including land areas.</w:t>
      </w:r>
    </w:p>
    <w:bookmarkStart w:id="237" w:name="threshold-requirements-48"/>
    <w:p>
      <w:pPr>
        <w:pStyle w:val="berschrift5"/>
      </w:pPr>
      <w:r>
        <w:t xml:space="preserve">Threshold requirements:</w:t>
      </w:r>
    </w:p>
    <w:p>
      <w:pPr>
        <w:pStyle w:val="Compact"/>
        <w:numPr>
          <w:ilvl w:val="0"/>
          <w:numId w:val="1086"/>
        </w:numPr>
      </w:pPr>
      <w:r>
        <w:t xml:space="preserve">During ortho-rectification, the data provider shall use the same DEM that was used for the radiometric terrain flattening to ensure consistency of the data stack.</w:t>
      </w:r>
    </w:p>
    <w:p>
      <w:pPr>
        <w:pStyle w:val="Compact"/>
        <w:numPr>
          <w:ilvl w:val="0"/>
          <w:numId w:val="1086"/>
        </w:numPr>
      </w:pPr>
      <w:r>
        <w:t xml:space="preserve">Provide reference to Digital Elevation Model used for geometric terrain correction.</w:t>
      </w:r>
    </w:p>
    <w:p>
      <w:pPr>
        <w:pStyle w:val="Compact"/>
        <w:numPr>
          <w:ilvl w:val="0"/>
          <w:numId w:val="1086"/>
        </w:numPr>
      </w:pPr>
      <w:r>
        <w:t xml:space="preserve">Provide reference to Earth Gravitational Model (EGM) used for geometric correction.</w:t>
      </w:r>
    </w:p>
    <w:bookmarkEnd w:id="237"/>
    <w:bookmarkStart w:id="238" w:name="goal-requirements-48"/>
    <w:p>
      <w:pPr>
        <w:pStyle w:val="berschrift5"/>
      </w:pPr>
      <w:r>
        <w:t xml:space="preserve">Goal requirements:</w:t>
      </w:r>
    </w:p>
    <w:p>
      <w:pPr>
        <w:pStyle w:val="Compact"/>
        <w:numPr>
          <w:ilvl w:val="0"/>
          <w:numId w:val="1087"/>
        </w:numPr>
      </w:pPr>
      <w:r>
        <w:t xml:space="preserve">A DEM with comparable or better resolution to the resolution of the output CEOS-ARD product shall be used if available.</w:t>
      </w:r>
      <w:r>
        <w:t xml:space="preserve"> </w:t>
      </w:r>
      <w:r>
        <w:t xml:space="preserve">Else, the upsampled DEM is identified.</w:t>
      </w:r>
    </w:p>
    <w:p>
      <w:pPr>
        <w:pStyle w:val="Compact"/>
        <w:numPr>
          <w:ilvl w:val="0"/>
          <w:numId w:val="1087"/>
        </w:numPr>
      </w:pPr>
      <w:r>
        <w:t xml:space="preserve">Resampling method used for preparation of the DEM.</w:t>
      </w:r>
    </w:p>
    <w:p>
      <w:pPr>
        <w:pStyle w:val="Compact"/>
        <w:numPr>
          <w:ilvl w:val="0"/>
          <w:numId w:val="1087"/>
        </w:numPr>
      </w:pPr>
      <w:r>
        <w:t xml:space="preserve">Method used for resampling the EGM.</w:t>
      </w:r>
    </w:p>
    <w:bookmarkEnd w:id="238"/>
    <w:bookmarkStart w:id="239" w:name="assessment-48"/>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p>
      <w:r>
        <w:pict>
          <v:rect style="width:0;height:1.5pt" o:hralign="center" o:hrstd="t" o:hr="t"/>
        </w:pict>
      </w:r>
    </w:p>
    <w:bookmarkEnd w:id="239"/>
    <w:bookmarkEnd w:id="240"/>
    <w:bookmarkStart w:id="244"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41" w:name="threshold-requirements-49"/>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p>
    <w:p>
      <w:pPr>
        <w:pStyle w:val="Textkrper"/>
      </w:pPr>
      <w:r>
        <w:t xml:space="preserve">The end-to-end “ARD” ALE of the final CEOS-ARD product could be measured directly in the final image product in the chosen map projection, i.e., in the map coordinate directions: e.g., Northing and Easting (case B: ARD ALE).</w:t>
      </w:r>
    </w:p>
    <w:p>
      <w:pPr>
        <w:pStyle w:val="Textkrper"/>
      </w:pP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Notes:</w:t>
      </w:r>
    </w:p>
    <w:p>
      <w:pPr>
        <w:pStyle w:val="Compact"/>
        <w:numPr>
          <w:ilvl w:val="0"/>
          <w:numId w:val="1089"/>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9"/>
        </w:numPr>
      </w:pPr>
      <w:r>
        <w:t xml:space="preserve">The ALE is not typically assessed for every processed image, but through an ALE assessment by the data processing team characterizing all or (usually a subset) of the generated products.</w:t>
      </w:r>
    </w:p>
    <w:bookmarkEnd w:id="241"/>
    <w:bookmarkStart w:id="242" w:name="goal-requirements-49"/>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42"/>
    <w:bookmarkStart w:id="243" w:name="assessment-49"/>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43"/>
    <w:bookmarkEnd w:id="244"/>
    <w:bookmarkStart w:id="248"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45" w:name="threshold-requirements-50"/>
    <w:p>
      <w:pPr>
        <w:pStyle w:val="berschrift5"/>
      </w:pPr>
      <w:r>
        <w:t xml:space="preserve">Threshold requirements:</w:t>
      </w:r>
    </w:p>
    <w:p>
      <w:pPr>
        <w:pStyle w:val="FirstParagraph"/>
      </w:pPr>
      <w:r>
        <w:t xml:space="preserve">Not required.</w:t>
      </w:r>
      <w:r>
        <w:t xml:space="preserve"> </w:t>
      </w:r>
    </w:p>
    <w:bookmarkEnd w:id="245"/>
    <w:bookmarkStart w:id="246" w:name="goal-requirements-50"/>
    <w:p>
      <w:pPr>
        <w:pStyle w:val="berschrift5"/>
      </w:pPr>
      <w:r>
        <w:t xml:space="preserve">Goal requirements:</w:t>
      </w:r>
    </w:p>
    <w:p>
      <w:pPr>
        <w:pStyle w:val="FirstParagraph"/>
      </w:pPr>
      <w:r>
        <w:t xml:space="preserve">Values provided under Section </w:t>
      </w:r>
      <w:r>
        <w:t xml:space="preserve">“</w:t>
      </w:r>
      <w:hyperlink w:anchor="sec:gcor-geomacc-sar">
        <w:r>
          <w:rPr>
            <w:rStyle w:val="Hyperlink"/>
          </w:rPr>
          <w:t xml:space="preserve">Geometric Corrections: Geometric Accuracy</w:t>
        </w:r>
      </w:hyperlink>
      <w:r>
        <w:t xml:space="preserve">”</w:t>
      </w:r>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bookmarkEnd w:id="246"/>
    <w:bookmarkStart w:id="247" w:name="assessment-50"/>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47"/>
    <w:bookmarkEnd w:id="248"/>
    <w:bookmarkStart w:id="252"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9" w:name="threshold-requirements-51"/>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2"/>
        </w:numPr>
      </w:pPr>
      <w:r>
        <w:t xml:space="preserve">If a product hierarchy of resolutions exists (or is planned), the multiple resolutions should nest within each other (e.g., 12.5m, 25m, 50m, 100m, etc.), and not be disjoint.</w:t>
      </w:r>
    </w:p>
    <w:bookmarkEnd w:id="249"/>
    <w:bookmarkStart w:id="250" w:name="goal-requirements-51"/>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50"/>
    <w:bookmarkStart w:id="251" w:name="assessment-51"/>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br w:type="page"/>
      </w:r>
    </w:p>
    <w:bookmarkEnd w:id="251"/>
    <w:bookmarkEnd w:id="252"/>
    <w:bookmarkEnd w:id="253"/>
    <w:bookmarkEnd w:id="254"/>
    <w:bookmarkStart w:id="261" w:name="summary-self-assessment-table"/>
    <w:p>
      <w:pPr>
        <w:pStyle w:val="berschrift2"/>
      </w:pPr>
      <w:r>
        <w:t xml:space="preserve">Summary Self-Assessment Table</w:t>
      </w:r>
    </w:p>
    <w:bookmarkStart w:id="255"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jc w:val="center"/>
            </w:pPr>
            <w:r>
              <w:rPr>
                <w:i/>
                <w:iCs/>
              </w:rPr>
              <w:t xml:space="preserve">as threshold</w:t>
            </w:r>
          </w:p>
        </w:tc>
      </w:tr>
    </w:tbl>
    <w:bookmarkEnd w:id="255"/>
    <w:bookmarkStart w:id="256"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56"/>
    <w:bookmarkStart w:id="257"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prd-spekfil-pol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57"/>
    <w:bookmarkStart w:id="258"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w:t>
            </w:r>
          </w:p>
        </w:tc>
        <w:tc>
          <w:tcPr/>
          <w:p>
            <w:pPr>
              <w:pStyle w:val="Compact"/>
            </w:pPr>
            <w:r>
              <w:t xml:space="preserve">Acquisition ID Image</w:t>
            </w:r>
          </w:p>
        </w:tc>
        <w:tc>
          <w:tcPr/>
          <w:p>
            <w:pPr>
              <w:pStyle w:val="Compact"/>
            </w:pP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58"/>
    <w:bookmarkStart w:id="259"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rcm-backsca-pol</w:t>
            </w:r>
          </w:p>
        </w:tc>
        <w:tc>
          <w:tcPr/>
          <w:p>
            <w:pPr>
              <w:pStyle w:val="Compact"/>
            </w:pPr>
            <w:r>
              <w:t xml:space="preserve">Backscatter Measurements (POL)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9"/>
    <w:bookmarkStart w:id="260"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60"/>
    <w:bookmarkEnd w:id="261"/>
    <w:bookmarkStart w:id="266"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62"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62"/>
    <w:bookmarkStart w:id="264"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4"/>
        </w:numPr>
      </w:pPr>
      <w:r>
        <w:t xml:space="preserve">that product has been assessed as meeting CEOS-ARD requirements by the agency responsible for production and distribution of the product, and</w:t>
      </w:r>
    </w:p>
    <w:p>
      <w:pPr>
        <w:pStyle w:val="Compact"/>
        <w:numPr>
          <w:ilvl w:val="0"/>
          <w:numId w:val="109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3">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4"/>
    <w:bookmarkStart w:id="265"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5"/>
    <w:bookmarkEnd w:id="266"/>
    <w:bookmarkStart w:id="294" w:name="references"/>
    <w:p>
      <w:pPr>
        <w:pStyle w:val="berschrift2"/>
      </w:pPr>
      <w:r>
        <w:t xml:space="preserve">References</w:t>
      </w:r>
    </w:p>
    <w:bookmarkStart w:id="293" w:name="refs"/>
    <w:bookmarkStart w:id="268" w:name="ref-cameron1996"/>
    <w:p>
      <w:pPr>
        <w:pStyle w:val="Literaturverzeichnis"/>
      </w:pPr>
      <w:r>
        <w:t xml:space="preserve">Cameron, W. L., N. N. Youssef, and L. K. Leung. 1996.</w:t>
      </w:r>
      <w:r>
        <w:t xml:space="preserve"> </w:t>
      </w:r>
      <w:r>
        <w:t xml:space="preserve">“Simulated Polarimetric Signatures of Primitive Geometrical Shapes.”</w:t>
      </w:r>
      <w:r>
        <w:t xml:space="preserve"> </w:t>
      </w:r>
      <w:r>
        <w:rPr>
          <w:i/>
          <w:iCs/>
        </w:rPr>
        <w:t xml:space="preserve">IEEE Transactions on Geoscience and Remote Sensing</w:t>
      </w:r>
      <w:r>
        <w:t xml:space="preserve"> </w:t>
      </w:r>
      <w:r>
        <w:t xml:space="preserve">34 (3): 793–803.</w:t>
      </w:r>
      <w:r>
        <w:t xml:space="preserve"> </w:t>
      </w:r>
      <w:hyperlink r:id="rId267">
        <w:r>
          <w:rPr>
            <w:rStyle w:val="Hyperlink"/>
          </w:rPr>
          <w:t xml:space="preserve">https://doi.org/10.1109/36.499784</w:t>
        </w:r>
      </w:hyperlink>
      <w:r>
        <w:t xml:space="preserve">.</w:t>
      </w:r>
    </w:p>
    <w:bookmarkEnd w:id="268"/>
    <w:bookmarkStart w:id="270" w:name="ref-cloude1996"/>
    <w:p>
      <w:pPr>
        <w:pStyle w:val="Literaturverzeichnis"/>
      </w:pPr>
      <w:r>
        <w:t xml:space="preserve">Cloude, S. R., and E. Pottier. 1996.</w:t>
      </w:r>
      <w:r>
        <w:t xml:space="preserve"> </w:t>
      </w:r>
      <w:r>
        <w:t xml:space="preserve">“A Review of Target Decomposition Theorems in Radar Polarimetry.”</w:t>
      </w:r>
      <w:r>
        <w:t xml:space="preserve"> </w:t>
      </w:r>
      <w:r>
        <w:rPr>
          <w:i/>
          <w:iCs/>
        </w:rPr>
        <w:t xml:space="preserve">IEEE Transactions on Geoscience and Remote Sensing</w:t>
      </w:r>
      <w:r>
        <w:t xml:space="preserve"> </w:t>
      </w:r>
      <w:r>
        <w:t xml:space="preserve">34 (2): 498–518.</w:t>
      </w:r>
      <w:r>
        <w:t xml:space="preserve"> </w:t>
      </w:r>
      <w:hyperlink r:id="rId269">
        <w:r>
          <w:rPr>
            <w:rStyle w:val="Hyperlink"/>
          </w:rPr>
          <w:t xml:space="preserve">https://doi.org/10.1109/36.485127</w:t>
        </w:r>
      </w:hyperlink>
      <w:r>
        <w:t xml:space="preserve">.</w:t>
      </w:r>
    </w:p>
    <w:bookmarkEnd w:id="270"/>
    <w:bookmarkStart w:id="272" w:name="ref-freeman1998"/>
    <w:p>
      <w:pPr>
        <w:pStyle w:val="Literaturverzeichnis"/>
      </w:pPr>
      <w:r>
        <w:t xml:space="preserve">Freeman, Anthony, and S. L. Durden. 1998.</w:t>
      </w:r>
      <w:r>
        <w:t xml:space="preserve"> </w:t>
      </w:r>
      <w:r>
        <w:t xml:space="preserve">“A Three-Component Scattering Model for Polarimetric SAR Data.”</w:t>
      </w:r>
      <w:r>
        <w:t xml:space="preserve"> </w:t>
      </w:r>
      <w:r>
        <w:rPr>
          <w:i/>
          <w:iCs/>
        </w:rPr>
        <w:t xml:space="preserve">Geoscience and Remote Sensing, IEEE Transactions on</w:t>
      </w:r>
      <w:r>
        <w:t xml:space="preserve"> </w:t>
      </w:r>
      <w:r>
        <w:t xml:space="preserve">36 (June): 963–73.</w:t>
      </w:r>
      <w:r>
        <w:t xml:space="preserve"> </w:t>
      </w:r>
      <w:hyperlink r:id="rId271">
        <w:r>
          <w:rPr>
            <w:rStyle w:val="Hyperlink"/>
          </w:rPr>
          <w:t xml:space="preserve">https://doi.org/10.1109/36.673687</w:t>
        </w:r>
      </w:hyperlink>
      <w:r>
        <w:t xml:space="preserve">.</w:t>
      </w:r>
    </w:p>
    <w:bookmarkEnd w:id="272"/>
    <w:bookmarkStart w:id="274" w:name="ref-gens2013"/>
    <w:p>
      <w:pPr>
        <w:pStyle w:val="Literaturverzeichnis"/>
      </w:pPr>
      <w:r>
        <w:t xml:space="preserve">Gens, R., Donald Atwood, and Eric Pottier. 2013.</w:t>
      </w:r>
      <w:r>
        <w:t xml:space="preserve"> </w:t>
      </w:r>
      <w:r>
        <w:t xml:space="preserve">“Geocoding of Polarimetric Processing Results: Alternative Processing Strategies.”</w:t>
      </w:r>
      <w:r>
        <w:t xml:space="preserve"> </w:t>
      </w:r>
      <w:r>
        <w:rPr>
          <w:i/>
          <w:iCs/>
        </w:rPr>
        <w:t xml:space="preserve">Remote Sensing Letters</w:t>
      </w:r>
      <w:r>
        <w:t xml:space="preserve"> </w:t>
      </w:r>
      <w:r>
        <w:t xml:space="preserve">4 (January): 38–44.</w:t>
      </w:r>
      <w:r>
        <w:t xml:space="preserve"> </w:t>
      </w:r>
      <w:hyperlink r:id="rId273">
        <w:r>
          <w:rPr>
            <w:rStyle w:val="Hyperlink"/>
          </w:rPr>
          <w:t xml:space="preserve">https://doi.org/10.1080/2150704X.2012.687470</w:t>
        </w:r>
      </w:hyperlink>
      <w:r>
        <w:t xml:space="preserve">.</w:t>
      </w:r>
    </w:p>
    <w:bookmarkEnd w:id="274"/>
    <w:bookmarkStart w:id="27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75"/>
    <w:bookmarkStart w:id="276" w:name="ref-krogager1993"/>
    <w:p>
      <w:pPr>
        <w:pStyle w:val="Literaturverzeichnis"/>
      </w:pPr>
      <w:r>
        <w:t xml:space="preserve">Krogager, E., Dinamarca) Danmarks Tekniske Hojskole (Lingby, and Danish Defence Research Establishment. 1993.</w:t>
      </w:r>
      <w:r>
        <w:t xml:space="preserve"> </w:t>
      </w:r>
      <w:r>
        <w:rPr>
          <w:i/>
          <w:iCs/>
        </w:rPr>
        <w:t xml:space="preserve">Aspects of Polarimetric Radar Imaging</w:t>
      </w:r>
      <w:r>
        <w:t xml:space="preserve">. Danish Defence Research Establishment.</w:t>
      </w:r>
    </w:p>
    <w:bookmarkEnd w:id="276"/>
    <w:bookmarkStart w:id="27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77">
        <w:r>
          <w:rPr>
            <w:rStyle w:val="Hyperlink"/>
          </w:rPr>
          <w:t xml:space="preserve">https://doi.org/10.1109/TGRS.2008.2002881</w:t>
        </w:r>
      </w:hyperlink>
      <w:r>
        <w:t xml:space="preserve">.</w:t>
      </w:r>
    </w:p>
    <w:bookmarkEnd w:id="278"/>
    <w:bookmarkStart w:id="280"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79">
        <w:r>
          <w:rPr>
            <w:rStyle w:val="Hyperlink"/>
          </w:rPr>
          <w:t xml:space="preserve">https://doi.org/10.1029/2011JE003986</w:t>
        </w:r>
      </w:hyperlink>
      <w:r>
        <w:t xml:space="preserve">.</w:t>
      </w:r>
    </w:p>
    <w:bookmarkEnd w:id="280"/>
    <w:bookmarkStart w:id="282"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81">
        <w:r>
          <w:rPr>
            <w:rStyle w:val="Hyperlink"/>
          </w:rPr>
          <w:t xml:space="preserve">https://doi.org/10.1109/TGRS.2022.3147472</w:t>
        </w:r>
      </w:hyperlink>
      <w:r>
        <w:t xml:space="preserve">.</w:t>
      </w:r>
    </w:p>
    <w:bookmarkEnd w:id="282"/>
    <w:bookmarkStart w:id="284"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83">
        <w:r>
          <w:rPr>
            <w:rStyle w:val="Hyperlink"/>
          </w:rPr>
          <w:t xml:space="preserve">https://doi.org/10.1109/TGRS.2011.2120616</w:t>
        </w:r>
      </w:hyperlink>
      <w:r>
        <w:t xml:space="preserve">.</w:t>
      </w:r>
    </w:p>
    <w:bookmarkEnd w:id="284"/>
    <w:bookmarkStart w:id="286" w:name="ref-toutin2013"/>
    <w:p>
      <w:pPr>
        <w:pStyle w:val="Literaturverzeichnis"/>
      </w:pPr>
      <w:r>
        <w:t xml:space="preserve">Toutin, Thierry, Huili Wang, Pierre Chomaz, and Eric Pottier. 2013.</w:t>
      </w:r>
      <w:r>
        <w:t xml:space="preserve"> </w:t>
      </w:r>
      <w:r>
        <w:t xml:space="preserve">“Orthorectification of Full-Polarimetric Radarsat-2 Data Using Accurate LIDAR DSM.”</w:t>
      </w:r>
      <w:r>
        <w:t xml:space="preserve"> </w:t>
      </w:r>
      <w:r>
        <w:rPr>
          <w:i/>
          <w:iCs/>
        </w:rPr>
        <w:t xml:space="preserve">Geoscience and Remote Sensing, IEEE Transactions on</w:t>
      </w:r>
      <w:r>
        <w:t xml:space="preserve"> </w:t>
      </w:r>
      <w:r>
        <w:t xml:space="preserve">51 (December): 5252–58.</w:t>
      </w:r>
      <w:r>
        <w:t xml:space="preserve"> </w:t>
      </w:r>
      <w:hyperlink r:id="rId285">
        <w:r>
          <w:rPr>
            <w:rStyle w:val="Hyperlink"/>
          </w:rPr>
          <w:t xml:space="preserve">https://doi.org/10.1109/TGRS.2012.2233206</w:t>
        </w:r>
      </w:hyperlink>
      <w:r>
        <w:t xml:space="preserve">.</w:t>
      </w:r>
    </w:p>
    <w:bookmarkEnd w:id="286"/>
    <w:bookmarkStart w:id="288"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87">
        <w:r>
          <w:rPr>
            <w:rStyle w:val="Hyperlink"/>
          </w:rPr>
          <w:t xml:space="preserve">https://doi.org/10.1109/TGRS.2010.2099124</w:t>
        </w:r>
      </w:hyperlink>
      <w:r>
        <w:t xml:space="preserve">.</w:t>
      </w:r>
    </w:p>
    <w:bookmarkEnd w:id="288"/>
    <w:bookmarkStart w:id="290"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89">
        <w:r>
          <w:rPr>
            <w:rStyle w:val="Hyperlink"/>
          </w:rPr>
          <w:t xml:space="preserve">https://doi.org/10.1109/LGRS.2017.2753580</w:t>
        </w:r>
      </w:hyperlink>
      <w:r>
        <w:t xml:space="preserve">.</w:t>
      </w:r>
    </w:p>
    <w:bookmarkEnd w:id="290"/>
    <w:bookmarkStart w:id="292"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91">
        <w:r>
          <w:rPr>
            <w:rStyle w:val="Hyperlink"/>
          </w:rPr>
          <w:t xml:space="preserve">https://doi.org/10.1109/TGRS.2010.2051333</w:t>
        </w:r>
      </w:hyperlink>
      <w:r>
        <w:t xml:space="preserve">.</w:t>
      </w:r>
    </w:p>
    <w:bookmarkEnd w:id="292"/>
    <w:bookmarkEnd w:id="293"/>
    <w:p>
      <w:r>
        <w:br w:type="page"/>
      </w:r>
    </w:p>
    <w:bookmarkEnd w:id="294"/>
    <w:bookmarkStart w:id="330" w:name="annexes"/>
    <w:p>
      <w:pPr>
        <w:pStyle w:val="berschrift2"/>
      </w:pPr>
      <w:r>
        <w:t xml:space="preserve">Annexes</w:t>
      </w:r>
    </w:p>
    <w:bookmarkStart w:id="296" w:name="sec:annex-sar-general-processing-roadmap"/>
    <w:p>
      <w:pPr>
        <w:pStyle w:val="berschrift3"/>
      </w:pPr>
      <w:r>
        <w:t xml:space="preserve">General Processing 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5"/>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5"/>
        </w:numPr>
      </w:pPr>
      <w:r>
        <w:t xml:space="preserve">Apply instrument calibration to produce Beta-Nought values with high fidelity.</w:t>
      </w:r>
    </w:p>
    <w:p>
      <w:pPr>
        <w:pStyle w:val="Compact"/>
        <w:numPr>
          <w:ilvl w:val="0"/>
          <w:numId w:val="1095"/>
        </w:numPr>
      </w:pPr>
      <w:r>
        <w:t xml:space="preserve">Convert Single-Look-Complex (SLC) radiometric channel(s) to intensity NRB, ORB and POL and in addition for POL, the cross-product element(s) of the covariance as shown in Section </w:t>
      </w:r>
      <w:r>
        <w:t xml:space="preserve">“</w:t>
      </w:r>
      <w:hyperlink w:anchor="sec:annex-sar-pol-covmat">
        <w:r>
          <w:rPr>
            <w:rStyle w:val="Hyperlink"/>
          </w:rPr>
          <w:t xml:space="preserve">Normalised Covariance Matrices (CovMat)</w:t>
        </w:r>
      </w:hyperlink>
      <w:r>
        <w:t xml:space="preserve">”</w:t>
      </w:r>
      <w:r>
        <w:t xml:space="preserve">.</w:t>
      </w:r>
    </w:p>
    <w:p>
      <w:pPr>
        <w:pStyle w:val="Compact"/>
        <w:numPr>
          <w:ilvl w:val="0"/>
          <w:numId w:val="1095"/>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5"/>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5"/>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Section </w:t>
      </w:r>
      <w:r>
        <w:t xml:space="preserve">“</w:t>
      </w:r>
      <w:hyperlink w:anchor="sec:annex-sar-topographic-phase-removal">
        <w:r>
          <w:rPr>
            <w:rStyle w:val="Hyperlink"/>
          </w:rPr>
          <w:t xml:space="preserve">Topographic phase removal</w:t>
        </w:r>
      </w:hyperlink>
      <w:r>
        <w:t xml:space="preserve">”</w:t>
      </w:r>
      <w:r>
        <w:t xml:space="preserve">)</w:t>
      </w:r>
    </w:p>
    <w:p>
      <w:pPr>
        <w:pStyle w:val="Compact"/>
        <w:numPr>
          <w:ilvl w:val="0"/>
          <w:numId w:val="1095"/>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5"/>
        </w:numPr>
      </w:pPr>
      <w:r>
        <w:t xml:space="preserve">Generate CEOS format metadata to accompany product layers.</w:t>
      </w:r>
    </w:p>
    <w:p>
      <w:pPr>
        <w:pStyle w:val="Compact"/>
        <w:numPr>
          <w:ilvl w:val="0"/>
          <w:numId w:val="1095"/>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95"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95"/>
    <w:bookmarkEnd w:id="296"/>
    <w:bookmarkStart w:id="308"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297"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297"/>
    </w:p>
    <w:p>
      <w:pPr>
        <w:pStyle w:val="FirstParagraph"/>
      </w:pPr>
      <w:r>
        <w:t xml:space="preserve">Where</w:t>
      </w:r>
    </w:p>
    <w:p>
      <w:pPr>
        <w:pStyle w:val="Textkrper"/>
      </w:pPr>
      <w:bookmarkStart w:id="298"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298"/>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096"/>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096"/>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(item 1.7.15) allows users to validate the InSAR feasibility in between CEOS-ARD products.</w:t>
      </w:r>
    </w:p>
    <w:p>
      <w:pPr>
        <w:pStyle w:val="Textkrper"/>
      </w:pPr>
      <w:bookmarkStart w:id="299"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299"/>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POL product, the Flattened phase needs also to be subtracted from the complex number phase of the off-diagonal elements of the covariance matrix.</w:t>
      </w:r>
    </w:p>
    <w:p>
      <w:pPr>
        <w:pStyle w:val="Textkrper"/>
      </w:pPr>
      <w:r>
        <w:t xml:space="preserve">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00"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00"/>
    </w:p>
    <w:p>
      <w:pPr>
        <w:pStyle w:val="FirstParagraph"/>
      </w:pPr>
      <w:bookmarkStart w:id="301"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01"/>
    </w:p>
    <w:p>
      <w:pPr>
        <w:pStyle w:val="FirstParagraph"/>
      </w:pPr>
      <w:r>
        <w:t xml:space="preserve">The differential phase is</w:t>
      </w:r>
    </w:p>
    <w:p>
      <w:pPr>
        <w:pStyle w:val="Textkrper"/>
      </w:pPr>
      <w:bookmarkStart w:id="302"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02"/>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03"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03"/>
    </w:p>
    <w:p>
      <w:pPr>
        <w:pStyle w:val="FirstParagraph"/>
      </w:pPr>
      <w:bookmarkStart w:id="304"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04"/>
    </w:p>
    <w:p>
      <w:pPr>
        <w:pStyle w:val="FirstParagraph"/>
      </w:pPr>
      <w:bookmarkStart w:id="305"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05"/>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 as Eq. </w:t>
      </w:r>
      <w:hyperlink w:anchor="eq:sar-topographic-phase-removal-eq1">
        <w:r>
          <w:rPr>
            <w:rStyle w:val="Hyperlink"/>
          </w:rPr>
          <w:t xml:space="preserve">1</w:t>
        </w:r>
      </w:hyperlink>
      <w:r>
        <w:t xml:space="preserve">, which gives</w:t>
      </w:r>
    </w:p>
    <w:p>
      <w:pPr>
        <w:pStyle w:val="Textkrper"/>
      </w:pPr>
      <w:bookmarkStart w:id="306"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06"/>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(item 2.15) and ionospheric (item 2.16) phase corrections could be performed during the production of CEOS-ARD products, which reduces the differential phase noise in an InSAR analysis.</w:t>
      </w:r>
    </w:p>
    <w:p>
      <w:pPr>
        <w:pStyle w:val="Textkrper"/>
      </w:pPr>
      <w:bookmarkStart w:id="307"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07"/>
    </w:p>
    <w:bookmarkEnd w:id="308"/>
    <w:bookmarkStart w:id="315"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12</w:t>
        </w:r>
      </w:hyperlink>
      <w:r>
        <w:t xml:space="preserve"> </w:t>
      </w:r>
      <w:r>
        <w:t xml:space="preserve">for fully polarimetric data (C3) and in Eq. </w:t>
      </w:r>
      <w:hyperlink w:anchor="eq:sar-pol-covmat-eq3">
        <w:r>
          <w:rPr>
            <w:rStyle w:val="Hyperlink"/>
          </w:rPr>
          <w:t xml:space="preserve">14</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309"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12</m:t>
          </m:r>
          <m:r>
            <m:rPr>
              <m:sty m:val="p"/>
            </m:rPr>
            <m:t>)</m:t>
          </m:r>
        </m:oMath>
      </m:oMathPara>
      <w:bookmarkEnd w:id="309"/>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310"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13</m:t>
          </m:r>
          <m:r>
            <m:rPr>
              <m:sty m:val="p"/>
            </m:rPr>
            <m:t>)</m:t>
          </m:r>
        </m:oMath>
      </m:oMathPara>
      <w:bookmarkEnd w:id="310"/>
    </w:p>
    <w:p>
      <w:pPr>
        <w:pStyle w:val="FirstParagraph"/>
      </w:pPr>
      <w:bookmarkStart w:id="311"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14</m:t>
          </m:r>
          <m:r>
            <m:rPr>
              <m:sty m:val="p"/>
            </m:rPr>
            <m:t>)</m:t>
          </m:r>
        </m:oMath>
      </m:oMathPara>
      <w:bookmarkEnd w:id="311"/>
    </w:p>
    <w:p>
      <w:pPr>
        <w:pStyle w:val="FirstParagraph"/>
      </w:pPr>
      <w:bookmarkStart w:id="312"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15</m:t>
          </m:r>
          <m:r>
            <m:rPr>
              <m:sty m:val="p"/>
            </m:rPr>
            <m:t>)</m:t>
          </m:r>
        </m:oMath>
      </m:oMathPara>
      <w:bookmarkEnd w:id="312"/>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12</w:t>
        </w:r>
      </w:hyperlink>
      <w:r>
        <w:t xml:space="preserve"> </w:t>
      </w:r>
      <w:r>
        <w:t xml:space="preserve">should be redefined as Eq. </w:t>
      </w:r>
      <w:hyperlink w:anchor="eq:sar-pol-covmat-eq5">
        <w:r>
          <w:rPr>
            <w:rStyle w:val="Hyperlink"/>
          </w:rPr>
          <w:t xml:space="preserve">16</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16</w:t>
        </w:r>
      </w:hyperlink>
      <w:r>
        <w:t xml:space="preserve"> </w:t>
      </w:r>
      <w:r>
        <w:t xml:space="preserve">is valid both for dual-linear and quad polarization.</w:t>
      </w:r>
    </w:p>
    <w:p>
      <w:pPr>
        <w:pStyle w:val="Textkrper"/>
      </w:pPr>
      <w:bookmarkStart w:id="313"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16</m:t>
          </m:r>
          <m:r>
            <m:rPr>
              <m:sty m:val="p"/>
            </m:rPr>
            <m:t>)</m:t>
          </m:r>
        </m:oMath>
      </m:oMathPara>
      <w:bookmarkEnd w:id="313"/>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17</w:t>
        </w:r>
      </w:hyperlink>
      <w:r>
        <w:t xml:space="preserve">) permit faster and more intuitive RGB visualizations (R=RR, G=RR/(RR+RL), B= RL).</w:t>
      </w:r>
    </w:p>
    <w:p>
      <w:pPr>
        <w:pStyle w:val="Textkrper"/>
      </w:pPr>
      <w:bookmarkStart w:id="314"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17</m:t>
          </m:r>
          <m:r>
            <m:rPr>
              <m:sty m:val="p"/>
            </m:rPr>
            <m:t>)</m:t>
          </m:r>
        </m:oMath>
      </m:oMathPara>
      <w:bookmarkEnd w:id="314"/>
    </w:p>
    <w:bookmarkEnd w:id="315"/>
    <w:bookmarkStart w:id="320" w:name="sec:annex-sar-pol-prd"/>
    <w:p>
      <w:pPr>
        <w:pStyle w:val="berschrift3"/>
      </w:pPr>
      <w:r>
        <w:t xml:space="preserve">Polarimetric Radar Decomposition (PRD)</w:t>
      </w:r>
    </w:p>
    <w:p>
      <w:pPr>
        <w:pStyle w:val="FirstParagraph"/>
      </w:pPr>
      <w:r>
        <w:t xml:space="preserve">Different methodologies allow decomposition of coherent dual-polarization data or fully polarimetric data to meaningful components summarizing the scattering processing with the interacting media. Decomposition techniques are divided in two categories: Coherent and incoherent.</w:t>
      </w:r>
    </w:p>
    <w:bookmarkStart w:id="317" w:name="coherent-decompositions"/>
    <w:p>
      <w:pPr>
        <w:pStyle w:val="berschrift4"/>
      </w:pPr>
      <w:r>
        <w:t xml:space="preserve">Coherent decompositions</w:t>
      </w:r>
    </w:p>
    <w:p>
      <w:pPr>
        <w:pStyle w:val="FirstParagraph"/>
      </w:pPr>
      <w:r>
        <w:t xml:space="preserve">Coherent decompositions express the scattering matrix by the summation of elementary objects of known signature (ex.: a sphere, a diplane, a cylinder, a helix, …). They are used mainly to describe point targets which are coherent. As for examples, coherent PRD could be (but not limited to):</w:t>
      </w:r>
    </w:p>
    <w:p>
      <w:pPr>
        <w:pStyle w:val="Compact"/>
        <w:numPr>
          <w:ilvl w:val="0"/>
          <w:numId w:val="1097"/>
        </w:numPr>
      </w:pPr>
      <w:r>
        <w:t xml:space="preserve">Pauli decomposition (3 layers)</w:t>
      </w:r>
    </w:p>
    <w:p>
      <w:pPr>
        <w:pStyle w:val="Compact"/>
        <w:numPr>
          <w:ilvl w:val="0"/>
          <w:numId w:val="1098"/>
        </w:numPr>
      </w:pPr>
      <m:oMath>
        <m:r>
          <m:rPr>
            <m:sty m:val="p"/>
          </m:rPr>
          <m:t>|</m:t>
        </m:r>
        <m:r>
          <m:t>α</m:t>
        </m:r>
        <m:sSup>
          <m:e>
            <m:r>
              <m:rPr>
                <m:sty m:val="p"/>
              </m:rPr>
              <m:t>|</m:t>
            </m:r>
          </m:e>
          <m:sup>
            <m:r>
              <m:t>2</m:t>
            </m:r>
          </m:sup>
        </m:sSup>
      </m:oMath>
      <w:r>
        <w:t xml:space="preserve">: sphere (odd-bounce interaction) [Intensity]</w:t>
      </w:r>
    </w:p>
    <w:p>
      <w:pPr>
        <w:pStyle w:val="Compact"/>
        <w:numPr>
          <w:ilvl w:val="0"/>
          <w:numId w:val="1098"/>
        </w:numPr>
      </w:pPr>
      <m:oMath>
        <m:r>
          <m:rPr>
            <m:sty m:val="p"/>
          </m:rPr>
          <m:t>|</m:t>
        </m:r>
        <m:r>
          <m:t>β</m:t>
        </m:r>
        <m:sSup>
          <m:e>
            <m:r>
              <m:rPr>
                <m:sty m:val="p"/>
              </m:rPr>
              <m:t>|</m:t>
            </m:r>
          </m:e>
          <m:sup>
            <m:r>
              <m:t>2</m:t>
            </m:r>
          </m:sup>
        </m:sSup>
      </m:oMath>
      <w:r>
        <w:t xml:space="preserve">: 0° diplane (even-bounce interaction) [Intensity]</w:t>
      </w:r>
    </w:p>
    <w:p>
      <w:pPr>
        <w:pStyle w:val="Compact"/>
        <w:numPr>
          <w:ilvl w:val="0"/>
          <w:numId w:val="1098"/>
        </w:numPr>
      </w:pPr>
      <m:oMath>
        <m:r>
          <m:rPr>
            <m:sty m:val="p"/>
          </m:rPr>
          <m:t>|</m:t>
        </m:r>
        <m:r>
          <m:t>γ</m:t>
        </m:r>
        <m:sSup>
          <m:e>
            <m:r>
              <m:rPr>
                <m:sty m:val="p"/>
              </m:rPr>
              <m:t>|</m:t>
            </m:r>
          </m:e>
          <m:sup>
            <m:r>
              <m:t>2</m:t>
            </m:r>
          </m:sup>
        </m:sSup>
      </m:oMath>
      <w:r>
        <w:t xml:space="preserve">: 45° diplane (volumetric interaction) [Intensity]</w:t>
      </w:r>
    </w:p>
    <w:p>
      <w:pPr>
        <w:pStyle w:val="Compact"/>
        <w:numPr>
          <w:ilvl w:val="0"/>
          <w:numId w:val="1099"/>
        </w:numPr>
      </w:pPr>
      <w:r>
        <w:t xml:space="preserve">Krogager decomposition (5 layers)</w:t>
      </w:r>
      <w:r>
        <w:t xml:space="preserve"> </w:t>
      </w:r>
      <w:r>
        <w:t xml:space="preserve">(</w:t>
      </w:r>
      <w:hyperlink w:anchor="ref-krogager1993">
        <w:r>
          <w:rPr>
            <w:rStyle w:val="Hyperlink"/>
          </w:rPr>
          <w:t xml:space="preserve">Krogager et al. 1993</w:t>
        </w:r>
      </w:hyperlink>
      <w:r>
        <w:t xml:space="preserve">)</w:t>
      </w:r>
    </w:p>
    <w:p>
      <w:pPr>
        <w:pStyle w:val="Compact"/>
        <w:numPr>
          <w:ilvl w:val="0"/>
          <w:numId w:val="1100"/>
        </w:numPr>
      </w:pPr>
      <m:oMath>
        <m:r>
          <m:rPr>
            <m:sty m:val="p"/>
          </m:rPr>
          <m:t>|</m:t>
        </m:r>
        <m:sSub>
          <m:e>
            <m:r>
              <m:t>κ</m:t>
            </m:r>
          </m:e>
          <m:sub>
            <m:r>
              <m:t>σ</m:t>
            </m:r>
          </m:sub>
        </m:sSub>
        <m:sSup>
          <m:e>
            <m:r>
              <m:rPr>
                <m:sty m:val="p"/>
              </m:rPr>
              <m:t>|</m:t>
            </m:r>
          </m:e>
          <m:sup>
            <m:r>
              <m:t>2</m:t>
            </m:r>
          </m:sup>
        </m:sSup>
      </m:oMath>
      <w:r>
        <w:t xml:space="preserve"> </w:t>
      </w:r>
      <w:r>
        <w:t xml:space="preserve">: sphere (odd-bounce interaction) [Intensity]</w:t>
      </w:r>
    </w:p>
    <w:p>
      <w:pPr>
        <w:pStyle w:val="Compact"/>
        <w:numPr>
          <w:ilvl w:val="0"/>
          <w:numId w:val="1100"/>
        </w:numPr>
      </w:pPr>
      <m:oMath>
        <m:r>
          <m:rPr>
            <m:sty m:val="p"/>
          </m:rPr>
          <m:t>|</m:t>
        </m:r>
        <m:sSub>
          <m:e>
            <m:r>
              <m:t>κ</m:t>
            </m:r>
          </m:e>
          <m:sub>
            <m:r>
              <m:t>δ</m:t>
            </m:r>
          </m:sub>
        </m:sSub>
        <m:sSup>
          <m:e>
            <m:r>
              <m:rPr>
                <m:sty m:val="p"/>
              </m:rPr>
              <m:t>|</m:t>
            </m:r>
          </m:e>
          <m:sup>
            <m:r>
              <m:t>2</m:t>
            </m:r>
          </m:sup>
        </m:sSup>
      </m:oMath>
      <w:r>
        <w:t xml:space="preserve"> </w:t>
      </w:r>
      <w:r>
        <w:t xml:space="preserve">: diplane (odd-bounce interaction) [Intensity]</w:t>
      </w:r>
    </w:p>
    <w:p>
      <w:pPr>
        <w:pStyle w:val="Compact"/>
        <w:numPr>
          <w:ilvl w:val="0"/>
          <w:numId w:val="1100"/>
        </w:numPr>
      </w:pPr>
      <m:oMath>
        <m:r>
          <m:rPr>
            <m:sty m:val="p"/>
          </m:rPr>
          <m:t>|</m:t>
        </m:r>
        <m:sSub>
          <m:e>
            <m:r>
              <m:t>κ</m:t>
            </m:r>
          </m:e>
          <m:sub>
            <m:r>
              <m:t>η</m:t>
            </m:r>
          </m:sub>
        </m:sSub>
        <m:sSup>
          <m:e>
            <m:r>
              <m:rPr>
                <m:sty m:val="p"/>
              </m:rPr>
              <m:t>|</m:t>
            </m:r>
          </m:e>
          <m:sup>
            <m:r>
              <m:t>2</m:t>
            </m:r>
          </m:sup>
        </m:sSup>
      </m:oMath>
      <w:r>
        <w:t xml:space="preserve"> </w:t>
      </w:r>
      <w:r>
        <w:t xml:space="preserve">: helix [Intensity]</w:t>
      </w:r>
    </w:p>
    <w:p>
      <w:pPr>
        <w:pStyle w:val="Compact"/>
        <w:numPr>
          <w:ilvl w:val="0"/>
          <w:numId w:val="1100"/>
        </w:numPr>
      </w:pPr>
      <m:oMath>
        <m:r>
          <m:t>θ</m:t>
        </m:r>
      </m:oMath>
      <w:r>
        <w:t xml:space="preserve">: orientation angle [degrees]</w:t>
      </w:r>
    </w:p>
    <w:p>
      <w:pPr>
        <w:pStyle w:val="Compact"/>
        <w:numPr>
          <w:ilvl w:val="0"/>
          <w:numId w:val="1100"/>
        </w:numPr>
      </w:pPr>
      <m:oMath>
        <m:sSub>
          <m:e>
            <m:r>
              <m:rPr>
                <m:sty m:val="p"/>
              </m:rPr>
              <m:t>Φ</m:t>
            </m:r>
          </m:e>
          <m:sub>
            <m:r>
              <m:t>s</m:t>
            </m:r>
          </m:sub>
        </m:sSub>
      </m:oMath>
      <w:r>
        <w:t xml:space="preserve">: sphere to diplane angle [degrees]</w:t>
      </w:r>
    </w:p>
    <w:p>
      <w:pPr>
        <w:pStyle w:val="Compact"/>
        <w:numPr>
          <w:ilvl w:val="0"/>
          <w:numId w:val="1101"/>
        </w:numPr>
      </w:pPr>
      <w:r>
        <w:t xml:space="preserve">Cameron (nine classes) – non-dimensional layers</w:t>
      </w:r>
      <w:r>
        <w:t xml:space="preserve"> </w:t>
      </w:r>
      <w:r>
        <w:t xml:space="preserve">(</w:t>
      </w:r>
      <w:hyperlink w:anchor="ref-cameron1996">
        <w:r>
          <w:rPr>
            <w:rStyle w:val="Hyperlink"/>
          </w:rPr>
          <w:t xml:space="preserve">Cameron et al. 1996</w:t>
        </w:r>
      </w:hyperlink>
      <w:r>
        <w:t xml:space="preserve">)</w:t>
      </w:r>
    </w:p>
    <w:bookmarkStart w:id="316" w:name="tbl:sar-pol-prd-tbl1"/>
    <w:p>
      <w:pPr>
        <w:pStyle w:val="TableCaption"/>
      </w:pPr>
      <w:r>
        <w:t xml:space="preserve">Table 2: Elementary objects of known scattering signature</w:t>
      </w:r>
    </w:p>
    <w:tbl>
      <w:tblPr>
        <w:tblStyle w:val="Table"/>
        <w:tblW w:type="auto" w:w="0"/>
        <w:tblLook w:firstRow="1" w:lastRow="0" w:firstColumn="0" w:lastColumn="0" w:noHBand="0" w:noVBand="0" w:val="0020"/>
        <w:tblCaption w:val="Table 2: Elementary objects of known scattering signature"/>
      </w:tblPr>
      <w:tblGrid>
        <w:gridCol w:w="3960"/>
        <w:gridCol w:w="3960"/>
      </w:tblGrid>
      <w:tr>
        <w:trPr>
          <w:tblHeader w:val="on"/>
        </w:trPr>
        <w:tc>
          <w:tcPr/>
          <w:p>
            <w:pPr>
              <w:pStyle w:val="Compact"/>
              <w:jc w:val="left"/>
            </w:pPr>
            <w:r>
              <w:t xml:space="preserve">Classes</w:t>
            </w:r>
          </w:p>
        </w:tc>
        <w:tc>
          <w:tcPr/>
          <w:p>
            <w:pPr>
              <w:pStyle w:val="Compact"/>
              <w:jc w:val="center"/>
            </w:pPr>
            <w:r>
              <w:t xml:space="preserve">ID</w:t>
            </w:r>
          </w:p>
        </w:tc>
      </w:tr>
      <w:tr>
        <w:tc>
          <w:tcPr/>
          <w:p>
            <w:pPr>
              <w:pStyle w:val="Compact"/>
              <w:jc w:val="left"/>
            </w:pPr>
            <w:r>
              <w:t xml:space="preserve">Trihedral</w:t>
            </w:r>
          </w:p>
        </w:tc>
        <w:tc>
          <w:tcPr/>
          <w:p>
            <w:pPr>
              <w:pStyle w:val="Compact"/>
              <w:jc w:val="center"/>
            </w:pPr>
            <w:r>
              <w:t xml:space="preserve">1</w:t>
            </w:r>
          </w:p>
        </w:tc>
      </w:tr>
      <w:tr>
        <w:tc>
          <w:tcPr/>
          <w:p>
            <w:pPr>
              <w:pStyle w:val="Compact"/>
              <w:jc w:val="left"/>
            </w:pPr>
            <w:r>
              <w:t xml:space="preserve">Dihedral</w:t>
            </w:r>
          </w:p>
        </w:tc>
        <w:tc>
          <w:tcPr/>
          <w:p>
            <w:pPr>
              <w:pStyle w:val="Compact"/>
              <w:jc w:val="center"/>
            </w:pPr>
            <w:r>
              <w:t xml:space="preserve">2</w:t>
            </w:r>
          </w:p>
        </w:tc>
      </w:tr>
      <w:tr>
        <w:tc>
          <w:tcPr/>
          <w:p>
            <w:pPr>
              <w:pStyle w:val="Compact"/>
              <w:jc w:val="left"/>
            </w:pPr>
            <w:r>
              <w:t xml:space="preserve">Narrow Dihedral</w:t>
            </w:r>
          </w:p>
        </w:tc>
        <w:tc>
          <w:tcPr/>
          <w:p>
            <w:pPr>
              <w:pStyle w:val="Compact"/>
              <w:jc w:val="center"/>
            </w:pPr>
            <w:r>
              <w:t xml:space="preserve">3</w:t>
            </w:r>
          </w:p>
        </w:tc>
      </w:tr>
      <w:tr>
        <w:tc>
          <w:tcPr/>
          <w:p>
            <w:pPr>
              <w:pStyle w:val="Compact"/>
              <w:jc w:val="left"/>
            </w:pPr>
            <w:r>
              <w:t xml:space="preserve">Dipole</w:t>
            </w:r>
          </w:p>
        </w:tc>
        <w:tc>
          <w:tcPr/>
          <w:p>
            <w:pPr>
              <w:pStyle w:val="Compact"/>
              <w:jc w:val="center"/>
            </w:pPr>
            <w:r>
              <w:t xml:space="preserve">4</w:t>
            </w:r>
          </w:p>
        </w:tc>
      </w:tr>
      <w:tr>
        <w:tc>
          <w:tcPr/>
          <w:p>
            <w:pPr>
              <w:pStyle w:val="Compact"/>
              <w:jc w:val="left"/>
            </w:pPr>
            <w:r>
              <w:t xml:space="preserve">Cylinder</w:t>
            </w:r>
          </w:p>
        </w:tc>
        <w:tc>
          <w:tcPr/>
          <w:p>
            <w:pPr>
              <w:pStyle w:val="Compact"/>
              <w:jc w:val="center"/>
            </w:pPr>
            <w:r>
              <w:t xml:space="preserve">5</w:t>
            </w:r>
          </w:p>
        </w:tc>
      </w:tr>
      <w:tr>
        <w:tc>
          <w:tcPr/>
          <w:p>
            <w:pPr>
              <w:pStyle w:val="Compact"/>
              <w:jc w:val="left"/>
            </w:pPr>
            <w:r>
              <w:t xml:space="preserve">¼ wave</w:t>
            </w:r>
          </w:p>
        </w:tc>
        <w:tc>
          <w:tcPr/>
          <w:p>
            <w:pPr>
              <w:pStyle w:val="Compact"/>
              <w:jc w:val="center"/>
            </w:pPr>
            <w:r>
              <w:t xml:space="preserve">6</w:t>
            </w:r>
          </w:p>
        </w:tc>
      </w:tr>
      <w:tr>
        <w:tc>
          <w:tcPr/>
          <w:p>
            <w:pPr>
              <w:pStyle w:val="Compact"/>
              <w:jc w:val="left"/>
            </w:pPr>
            <w:r>
              <w:t xml:space="preserve">Right Helix</w:t>
            </w:r>
          </w:p>
        </w:tc>
        <w:tc>
          <w:tcPr/>
          <w:p>
            <w:pPr>
              <w:pStyle w:val="Compact"/>
              <w:jc w:val="center"/>
            </w:pPr>
            <w:r>
              <w:t xml:space="preserve">7</w:t>
            </w:r>
          </w:p>
        </w:tc>
      </w:tr>
      <w:tr>
        <w:tc>
          <w:tcPr/>
          <w:p>
            <w:pPr>
              <w:pStyle w:val="Compact"/>
              <w:jc w:val="left"/>
            </w:pPr>
            <w:r>
              <w:t xml:space="preserve">Left Helix</w:t>
            </w:r>
          </w:p>
        </w:tc>
        <w:tc>
          <w:tcPr/>
          <w:p>
            <w:pPr>
              <w:pStyle w:val="Compact"/>
              <w:jc w:val="center"/>
            </w:pPr>
            <w:r>
              <w:t xml:space="preserve">8</w:t>
            </w:r>
          </w:p>
        </w:tc>
      </w:tr>
      <w:tr>
        <w:tc>
          <w:tcPr/>
          <w:p>
            <w:pPr>
              <w:pStyle w:val="Compact"/>
              <w:jc w:val="left"/>
            </w:pPr>
            <w:r>
              <w:t xml:space="preserve">Asymmetrical</w:t>
            </w:r>
          </w:p>
        </w:tc>
        <w:tc>
          <w:tcPr/>
          <w:p>
            <w:pPr>
              <w:pStyle w:val="Compact"/>
              <w:jc w:val="center"/>
            </w:pPr>
            <w:r>
              <w:t xml:space="preserve">9</w:t>
            </w:r>
          </w:p>
        </w:tc>
      </w:tr>
    </w:tbl>
    <w:bookmarkEnd w:id="316"/>
    <w:bookmarkEnd w:id="317"/>
    <w:bookmarkStart w:id="319" w:name="incoherent-decompositions"/>
    <w:p>
      <w:pPr>
        <w:pStyle w:val="berschrift4"/>
      </w:pPr>
      <w:r>
        <w:t xml:space="preserve">Incoherent decompositions</w:t>
      </w:r>
    </w:p>
    <w:p>
      <w:pPr>
        <w:pStyle w:val="FirstParagraph"/>
      </w:pPr>
      <w:r>
        <w:t xml:space="preserve">Incoherent decompositions describe distributed targets in terms of scattering mechanisms and their diversity. They are generated from averaged Covariance, Coherence or Kennaugh matrices. As for examples, incoherent PRD could be (but not limited to):</w:t>
      </w:r>
    </w:p>
    <w:p>
      <w:pPr>
        <w:pStyle w:val="Compact"/>
        <w:numPr>
          <w:ilvl w:val="0"/>
          <w:numId w:val="1102"/>
        </w:numPr>
      </w:pPr>
      <w:r>
        <w:t xml:space="preserve">Based and saved on intensity of scattering mechanisms can be</w:t>
      </w:r>
      <w:r>
        <w:t xml:space="preserve"> </w:t>
      </w:r>
      <w:r>
        <w:t xml:space="preserve">(</w:t>
      </w:r>
      <w:hyperlink w:anchor="ref-freeman1998">
        <w:r>
          <w:rPr>
            <w:rStyle w:val="Hyperlink"/>
          </w:rPr>
          <w:t xml:space="preserve">Freeman and Durden 1998</w:t>
        </w:r>
      </w:hyperlink>
      <w:r>
        <w:t xml:space="preserve">;</w:t>
      </w:r>
      <w:r>
        <w:t xml:space="preserve"> </w:t>
      </w:r>
      <w:hyperlink w:anchor="ref-yamaguchi2011">
        <w:r>
          <w:rPr>
            <w:rStyle w:val="Hyperlink"/>
          </w:rPr>
          <w:t xml:space="preserve">Yamaguchi et al. 2011</w:t>
        </w:r>
      </w:hyperlink>
      <w:r>
        <w:t xml:space="preserve">;</w:t>
      </w:r>
      <w:r>
        <w:t xml:space="preserve"> </w:t>
      </w:r>
      <w:hyperlink w:anchor="ref-raney2012">
        <w:r>
          <w:rPr>
            <w:rStyle w:val="Hyperlink"/>
          </w:rPr>
          <w:t xml:space="preserve">Raney et al. 2012</w:t>
        </w:r>
      </w:hyperlink>
      <w:r>
        <w:t xml:space="preserve">)</w:t>
      </w:r>
    </w:p>
    <w:bookmarkStart w:id="318" w:name="tbl:sar-pol-prd-tbl2"/>
    <w:p>
      <w:pPr>
        <w:pStyle w:val="TableCaption"/>
      </w:pPr>
      <w:r>
        <w:t xml:space="preserve">Table 3: Incoherent Decompositions: Freeman-Durden, Yamaguchi, m-chi</w:t>
      </w:r>
    </w:p>
    <w:tbl>
      <w:tblPr>
        <w:tblStyle w:val="Table"/>
        <w:tblW w:type="auto" w:w="0"/>
        <w:tblLook w:firstRow="1" w:lastRow="0" w:firstColumn="0" w:lastColumn="0" w:noHBand="0" w:noVBand="0" w:val="0020"/>
        <w:tblCaption w:val="Table 3: Incoherent Decompositions: Freeman-Durden, Yamaguchi, m-chi"/>
      </w:tblPr>
      <w:tblGrid>
        <w:gridCol w:w="1980"/>
        <w:gridCol w:w="1980"/>
        <w:gridCol w:w="1980"/>
        <w:gridCol w:w="1980"/>
      </w:tblGrid>
      <w:tr>
        <w:trPr>
          <w:tblHeader w:val="on"/>
        </w:trPr>
        <w:tc>
          <w:tcPr/>
          <w:p>
            <w:pPr>
              <w:pStyle w:val="Compact"/>
              <w:jc w:val="left"/>
            </w:pPr>
            <w:r>
              <w:t xml:space="preserve">Level 2b - Layers [Intensity]</w:t>
            </w:r>
          </w:p>
        </w:tc>
        <w:tc>
          <w:tcPr/>
          <w:p>
            <w:pPr>
              <w:pStyle w:val="Compact"/>
              <w:jc w:val="center"/>
            </w:pPr>
            <w:r>
              <w:t xml:space="preserve">Freeman-Durden</w:t>
            </w:r>
          </w:p>
        </w:tc>
        <w:tc>
          <w:tcPr/>
          <w:p>
            <w:pPr>
              <w:pStyle w:val="Compact"/>
              <w:jc w:val="center"/>
            </w:pPr>
            <w:r>
              <w:t xml:space="preserve">Yamaguchi</w:t>
            </w:r>
          </w:p>
        </w:tc>
        <w:tc>
          <w:tcPr/>
          <w:p>
            <w:pPr>
              <w:pStyle w:val="Compact"/>
              <w:jc w:val="center"/>
            </w:pPr>
            <w:r>
              <w:t xml:space="preserve">m-chi</w:t>
            </w:r>
          </w:p>
        </w:tc>
      </w:tr>
      <w:tr>
        <w:tc>
          <w:tcPr/>
          <w:p>
            <w:pPr>
              <w:pStyle w:val="Compact"/>
              <w:jc w:val="left"/>
            </w:pPr>
            <w:r>
              <w:t xml:space="preserve">Odd-bounce (surface/trihedral)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Even-bounce (dihedral)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Random (volumetric)</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Helix</w:t>
            </w:r>
          </w:p>
        </w:tc>
        <w:tc>
          <w:tcPr/>
          <w:p>
            <w:pPr>
              <w:pStyle w:val="Compact"/>
            </w:pPr>
          </w:p>
        </w:tc>
        <w:tc>
          <w:tcPr/>
          <w:p>
            <w:pPr>
              <w:pStyle w:val="Compact"/>
              <w:jc w:val="center"/>
            </w:pPr>
            <w:r>
              <w:t xml:space="preserve">X</w:t>
            </w:r>
          </w:p>
        </w:tc>
        <w:tc>
          <w:tcPr/>
          <w:p>
            <w:pPr>
              <w:pStyle w:val="Compact"/>
            </w:pPr>
          </w:p>
        </w:tc>
      </w:tr>
    </w:tbl>
    <w:bookmarkEnd w:id="318"/>
    <w:p>
      <w:pPr>
        <w:pStyle w:val="Compact"/>
        <w:numPr>
          <w:ilvl w:val="0"/>
          <w:numId w:val="1103"/>
        </w:numPr>
      </w:pPr>
      <w:r>
        <w:t xml:space="preserve">Based on eigenvector-eigenvalue decomposition expressing the diversity of scattering mechanisms</w:t>
      </w:r>
      <w:r>
        <w:t xml:space="preserve"> </w:t>
      </w:r>
      <w:r>
        <w:t xml:space="preserve">(</w:t>
      </w:r>
      <w:hyperlink w:anchor="ref-cloude1996">
        <w:r>
          <w:rPr>
            <w:rStyle w:val="Hyperlink"/>
          </w:rPr>
          <w:t xml:space="preserve">Cloude and Pottier 1996</w:t>
        </w:r>
      </w:hyperlink>
      <w:r>
        <w:t xml:space="preserve">)</w:t>
      </w:r>
      <w:r>
        <w:t xml:space="preserve"> </w:t>
      </w:r>
      <w:r>
        <w:t xml:space="preserve">and types:</w:t>
      </w:r>
    </w:p>
    <w:p>
      <w:pPr>
        <w:pStyle w:val="Compact"/>
        <w:numPr>
          <w:ilvl w:val="0"/>
          <w:numId w:val="1104"/>
        </w:numPr>
      </w:pPr>
      <m:oMath>
        <m:r>
          <m:t>H</m:t>
        </m:r>
      </m:oMath>
      <w:r>
        <w:t xml:space="preserve"> </w:t>
      </w:r>
      <w:r>
        <w:t xml:space="preserve">: Entropy [ ] is the polarization diversity</w:t>
      </w:r>
    </w:p>
    <w:p>
      <w:pPr>
        <w:pStyle w:val="Compact"/>
        <w:numPr>
          <w:ilvl w:val="0"/>
          <w:numId w:val="1104"/>
        </w:numPr>
      </w:pPr>
      <m:oMath>
        <m:r>
          <m:t>A</m:t>
        </m:r>
      </m:oMath>
      <w:r>
        <w:t xml:space="preserve"> </w:t>
      </w:r>
      <w:r>
        <w:t xml:space="preserve">: Anisotropy [ ] is weighted difference between the 2ⁿᵈ and 3ʳᵈ eigenvalues</w:t>
      </w:r>
    </w:p>
    <w:p>
      <w:pPr>
        <w:pStyle w:val="Compact"/>
        <w:numPr>
          <w:ilvl w:val="0"/>
          <w:numId w:val="1104"/>
        </w:numPr>
      </w:pPr>
      <m:oMath>
        <m:r>
          <m:t>α</m:t>
        </m:r>
      </m:oMath>
      <w:r>
        <w:t xml:space="preserve"> </w:t>
      </w:r>
      <w:r>
        <w:t xml:space="preserve">: Odd-even bounce angle [Degrees]</w:t>
      </w:r>
    </w:p>
    <w:p>
      <w:pPr>
        <w:pStyle w:val="Compact"/>
        <w:numPr>
          <w:ilvl w:val="0"/>
          <w:numId w:val="1104"/>
        </w:numPr>
      </w:pPr>
      <m:oMath>
        <m:r>
          <m:t>β</m:t>
        </m:r>
      </m:oMath>
      <w:r>
        <w:t xml:space="preserve"> </w:t>
      </w:r>
      <w:r>
        <w:t xml:space="preserve">: orientation angle [Degrees]</w:t>
      </w:r>
    </w:p>
    <w:bookmarkEnd w:id="319"/>
    <w:bookmarkEnd w:id="320"/>
    <w:bookmarkStart w:id="329" w:name="sec:annex-sar-pol-examples"/>
    <w:p>
      <w:pPr>
        <w:pStyle w:val="berschrift3"/>
      </w:pPr>
      <w:r>
        <w:t xml:space="preserve">Polarimetric Radar Decomposition Product Examples</w:t>
      </w:r>
    </w:p>
    <w:p>
      <w:pPr>
        <w:pStyle w:val="FirstParagraph"/>
      </w:pPr>
      <w:r>
        <w:t xml:space="preserve">From fully polarimetric covariance matrix ARD format POL (Level-2a), it is possible to apply any version of the popular Yamaguchi methodology, which decomposes the polarimetric information under relative intensities of 4 scattering types: Odd bounce, Even bounce, Random (volume) and helix. Figure </w:t>
      </w:r>
      <w:hyperlink w:anchor="fig:sar-pol-examples-fig1">
        <w:r>
          <w:rPr>
            <w:rStyle w:val="Hyperlink"/>
          </w:rPr>
          <w:t xml:space="preserve">1</w:t>
        </w:r>
      </w:hyperlink>
      <w:r>
        <w:t xml:space="preserve">b shows HH intensity of a RADARSAT fully polarimetric acquired over a Spanish area. Decomposition using Yamaguchi methodology</w:t>
      </w:r>
      <w:r>
        <w:t xml:space="preserve"> </w:t>
      </w:r>
      <w:r>
        <w:t xml:space="preserve">(</w:t>
      </w:r>
      <w:hyperlink w:anchor="ref-yamaguchi2011">
        <w:r>
          <w:rPr>
            <w:rStyle w:val="Hyperlink"/>
          </w:rPr>
          <w:t xml:space="preserve">Yamaguchi et al. 2011</w:t>
        </w:r>
      </w:hyperlink>
      <w:r>
        <w:t xml:space="preserve">)</w:t>
      </w:r>
      <w:r>
        <w:t xml:space="preserve"> </w:t>
      </w:r>
      <w:r>
        <w:t xml:space="preserve">can be expressed in RGB colour composite (Figure </w:t>
      </w:r>
      <w:hyperlink w:anchor="fig:sar-pol-examples-fig1">
        <w:r>
          <w:rPr>
            <w:rStyle w:val="Hyperlink"/>
          </w:rPr>
          <w:t xml:space="preserve">1</w:t>
        </w:r>
      </w:hyperlink>
      <w:r>
        <w:t xml:space="preserve">c) where Red channel refers to even bounce scattering like urban area; Green channel is random scattering like vegetation; and Blue channel is odd bounce scattering like bare soil. Figure </w:t>
      </w:r>
      <w:hyperlink w:anchor="fig:sar-pol-examples-fig1">
        <w:r>
          <w:rPr>
            <w:rStyle w:val="Hyperlink"/>
          </w:rPr>
          <w:t xml:space="preserve">1</w:t>
        </w:r>
      </w:hyperlink>
      <w:r>
        <w:t xml:space="preserve">d is equivalent to c) where radiometric normalisation (terrain flattening) has been applied with the help of the DEM of the scene (Figure </w:t>
      </w:r>
      <w:hyperlink w:anchor="fig:sar-pol-examples-fig1">
        <w:r>
          <w:rPr>
            <w:rStyle w:val="Hyperlink"/>
          </w:rPr>
          <w:t xml:space="preserve">1</w:t>
        </w:r>
      </w:hyperlink>
      <w:r>
        <w:t xml:space="preserve">a).</w:t>
      </w:r>
    </w:p>
    <w:bookmarkStart w:id="324" w:name="fig:sar-pol-examples-fig1"/>
    <w:p>
      <w:pPr>
        <w:pStyle w:val="CaptionedFigure"/>
      </w:pPr>
      <w:r>
        <w:drawing>
          <wp:inline>
            <wp:extent cx="5724525" cy="5629275"/>
            <wp:effectExtent b="0" l="0" r="0" t="0"/>
            <wp:docPr descr="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 title="" id="322" name="Picture"/>
            <a:graphic>
              <a:graphicData uri="http://schemas.openxmlformats.org/drawingml/2006/picture">
                <pic:pic>
                  <pic:nvPicPr>
                    <pic:cNvPr descr="assets/sar-pol-examples/pol-decomposition.jpeg" id="323" name="Picture"/>
                    <pic:cNvPicPr>
                      <a:picLocks noChangeArrowheads="1" noChangeAspect="1"/>
                    </pic:cNvPicPr>
                  </pic:nvPicPr>
                  <pic:blipFill>
                    <a:blip r:embed="rId321"/>
                    <a:stretch>
                      <a:fillRect/>
                    </a:stretch>
                  </pic:blipFill>
                  <pic:spPr bwMode="auto">
                    <a:xfrm>
                      <a:off x="0" y="0"/>
                      <a:ext cx="5724525" cy="5629275"/>
                    </a:xfrm>
                    <a:prstGeom prst="rect">
                      <a:avLst/>
                    </a:prstGeom>
                    <a:noFill/>
                    <a:ln w="9525">
                      <a:noFill/>
                      <a:headEnd/>
                      <a:tailEnd/>
                    </a:ln>
                  </pic:spPr>
                </pic:pic>
              </a:graphicData>
            </a:graphic>
          </wp:inline>
        </w:drawing>
      </w:r>
    </w:p>
    <w:p>
      <w:pPr>
        <w:pStyle w:val="ImageCaption"/>
      </w:pPr>
      <w:r>
        <w:t xml:space="preserve">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w:t>
      </w:r>
    </w:p>
    <w:bookmarkEnd w:id="324"/>
    <w:p>
      <w:pPr>
        <w:pStyle w:val="Textkrper"/>
      </w:pPr>
      <w:r>
        <w:t xml:space="preserve">Figure </w:t>
      </w:r>
      <w:hyperlink w:anchor="fig:sar-pol-examples-fig2">
        <w:r>
          <w:rPr>
            <w:rStyle w:val="Hyperlink"/>
          </w:rPr>
          <w:t xml:space="preserve">2</w:t>
        </w:r>
      </w:hyperlink>
      <w:r>
        <w:t xml:space="preserve"> </w:t>
      </w:r>
      <w:r>
        <w:t xml:space="preserve">is a PRD compact polarimetric m-chi decomposition</w:t>
      </w:r>
      <w:r>
        <w:t xml:space="preserve"> </w:t>
      </w:r>
      <w:r>
        <w:t xml:space="preserve">(</w:t>
      </w:r>
      <w:hyperlink w:anchor="ref-raney2012">
        <w:r>
          <w:rPr>
            <w:rStyle w:val="Hyperlink"/>
          </w:rPr>
          <w:t xml:space="preserve">Raney et al. 2012</w:t>
        </w:r>
      </w:hyperlink>
      <w:r>
        <w:t xml:space="preserve">)</w:t>
      </w:r>
      <w:r>
        <w:t xml:space="preserve"> </w:t>
      </w:r>
      <w:r>
        <w:t xml:space="preserve">simulated from two Canadian prairies Radarsat-2 fully polarimetric scenes acquired in May and June 2012. In May, before the growing season Figure </w:t>
      </w:r>
      <w:hyperlink w:anchor="fig:sar-pol-examples-fig2">
        <w:r>
          <w:rPr>
            <w:rStyle w:val="Hyperlink"/>
          </w:rPr>
          <w:t xml:space="preserve">2</w:t>
        </w:r>
      </w:hyperlink>
      <w:r>
        <w:t xml:space="preserve">a, m-chi shows mainly surface scattering from bare soil (blue channel) and vegetation interaction from forested areas (green channel), while in June Figure </w:t>
      </w:r>
      <w:hyperlink w:anchor="fig:sar-pol-examples-fig2">
        <w:r>
          <w:rPr>
            <w:rStyle w:val="Hyperlink"/>
          </w:rPr>
          <w:t xml:space="preserve">2</w:t>
        </w:r>
      </w:hyperlink>
      <w:r>
        <w:t xml:space="preserve">b growth of vegetation modifies the radar signal with interacting media function of the vegetation density and geometry which increase the amount of even bounce (red channel) and random scattering.</w:t>
      </w:r>
    </w:p>
    <w:bookmarkStart w:id="328" w:name="fig:sar-pol-examples-fig2"/>
    <w:p>
      <w:pPr>
        <w:pStyle w:val="CaptionedFigure"/>
      </w:pPr>
      <w:r>
        <w:drawing>
          <wp:inline>
            <wp:extent cx="5727700" cy="2887518"/>
            <wp:effectExtent b="0" l="0" r="0" t="0"/>
            <wp:docPr descr="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 title="" id="326" name="Picture"/>
            <a:graphic>
              <a:graphicData uri="http://schemas.openxmlformats.org/drawingml/2006/picture">
                <pic:pic>
                  <pic:nvPicPr>
                    <pic:cNvPr descr="assets/sar-pol-examples/m-chi-decomposition.jpeg" id="327" name="Picture"/>
                    <pic:cNvPicPr>
                      <a:picLocks noChangeArrowheads="1" noChangeAspect="1"/>
                    </pic:cNvPicPr>
                  </pic:nvPicPr>
                  <pic:blipFill>
                    <a:blip r:embed="rId325"/>
                    <a:stretch>
                      <a:fillRect/>
                    </a:stretch>
                  </pic:blipFill>
                  <pic:spPr bwMode="auto">
                    <a:xfrm>
                      <a:off x="0" y="0"/>
                      <a:ext cx="5727700" cy="2887518"/>
                    </a:xfrm>
                    <a:prstGeom prst="rect">
                      <a:avLst/>
                    </a:prstGeom>
                    <a:noFill/>
                    <a:ln w="9525">
                      <a:noFill/>
                      <a:headEnd/>
                      <a:tailEnd/>
                    </a:ln>
                  </pic:spPr>
                </pic:pic>
              </a:graphicData>
            </a:graphic>
          </wp:inline>
        </w:drawing>
      </w:r>
    </w:p>
    <w:p>
      <w:pPr>
        <w:pStyle w:val="ImageCaption"/>
      </w:pPr>
      <w:r>
        <w:t xml:space="preserve">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w:t>
      </w:r>
    </w:p>
    <w:bookmarkEnd w:id="328"/>
    <w:bookmarkEnd w:id="329"/>
    <w:bookmarkEnd w:id="330"/>
    <w:bookmarkEnd w:id="331"/>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80">
    <w:p>
      <w:pPr>
        <w:pStyle w:val="Funotentext"/>
      </w:pPr>
      <w:r>
        <w:rPr>
          <w:rStyle w:val="Funotenzeichen"/>
        </w:rPr>
        <w:footnoteRef/>
      </w:r>
      <w:r>
        <w:t xml:space="preserve"> </w:t>
      </w:r>
      <w:r>
        <w:t xml:space="preserve">For data crossing the North or South Pole, it is recommended to produce two distinct products and to use the appropriate “Pass direction” in each.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1"/>
  </w:num>
  <w:num w:numId="109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0">
    <w:abstractNumId w:val="991"/>
  </w:num>
  <w:num w:numId="110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25" Target="media/rId325.jpg" /><Relationship Type="http://schemas.openxmlformats.org/officeDocument/2006/relationships/image" Id="rId321" Target="media/rId321.jpg" /><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30" Target="https://ceos.org/ard/files/PFS/SAR/v1.3/CEOS-ARD_PFS_Synthetic_Aperture_Radar_v1.3.pdf" TargetMode="External" /><Relationship Type="http://schemas.openxmlformats.org/officeDocument/2006/relationships/hyperlink" Id="rId68" Target="https://ceos.org/mim-database/" TargetMode="External" /><Relationship Type="http://schemas.openxmlformats.org/officeDocument/2006/relationships/hyperlink" Id="rId279" Target="https://doi.org/10.1029/2011JE003986" TargetMode="External" /><Relationship Type="http://schemas.openxmlformats.org/officeDocument/2006/relationships/hyperlink" Id="rId273" Target="https://doi.org/10.1080/2150704X.2012.687470" TargetMode="External" /><Relationship Type="http://schemas.openxmlformats.org/officeDocument/2006/relationships/hyperlink" Id="rId269" Target="https://doi.org/10.1109/36.485127" TargetMode="External" /><Relationship Type="http://schemas.openxmlformats.org/officeDocument/2006/relationships/hyperlink" Id="rId267" Target="https://doi.org/10.1109/36.499784" TargetMode="External" /><Relationship Type="http://schemas.openxmlformats.org/officeDocument/2006/relationships/hyperlink" Id="rId271" Target="https://doi.org/10.1109/36.673687" TargetMode="External" /><Relationship Type="http://schemas.openxmlformats.org/officeDocument/2006/relationships/hyperlink" Id="rId289" Target="https://doi.org/10.1109/LGRS.2017.2753580" TargetMode="External" /><Relationship Type="http://schemas.openxmlformats.org/officeDocument/2006/relationships/hyperlink" Id="rId277" Target="https://doi.org/10.1109/TGRS.2008.2002881" TargetMode="External" /><Relationship Type="http://schemas.openxmlformats.org/officeDocument/2006/relationships/hyperlink" Id="rId291" Target="https://doi.org/10.1109/TGRS.2010.2051333" TargetMode="External" /><Relationship Type="http://schemas.openxmlformats.org/officeDocument/2006/relationships/hyperlink" Id="rId287" Target="https://doi.org/10.1109/TGRS.2010.2099124" TargetMode="External" /><Relationship Type="http://schemas.openxmlformats.org/officeDocument/2006/relationships/hyperlink" Id="rId283" Target="https://doi.org/10.1109/TGRS.2011.2120616" TargetMode="External" /><Relationship Type="http://schemas.openxmlformats.org/officeDocument/2006/relationships/hyperlink" Id="rId285" Target="https://doi.org/10.1109/TGRS.2012.2233206" TargetMode="External" /><Relationship Type="http://schemas.openxmlformats.org/officeDocument/2006/relationships/hyperlink" Id="rId281" Target="https://doi.org/10.1109/TGRS.2022.3147472"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30" Target="https://ceos.org/ard/files/PFS/SAR/v1.3/CEOS-ARD_PFS_Synthetic_Aperture_Radar_v1.3.pdf" TargetMode="External" /><Relationship Type="http://schemas.openxmlformats.org/officeDocument/2006/relationships/hyperlink" Id="rId68" Target="https://ceos.org/mim-database/" TargetMode="External" /><Relationship Type="http://schemas.openxmlformats.org/officeDocument/2006/relationships/hyperlink" Id="rId279" Target="https://doi.org/10.1029/2011JE003986" TargetMode="External" /><Relationship Type="http://schemas.openxmlformats.org/officeDocument/2006/relationships/hyperlink" Id="rId273" Target="https://doi.org/10.1080/2150704X.2012.687470" TargetMode="External" /><Relationship Type="http://schemas.openxmlformats.org/officeDocument/2006/relationships/hyperlink" Id="rId269" Target="https://doi.org/10.1109/36.485127" TargetMode="External" /><Relationship Type="http://schemas.openxmlformats.org/officeDocument/2006/relationships/hyperlink" Id="rId267" Target="https://doi.org/10.1109/36.499784" TargetMode="External" /><Relationship Type="http://schemas.openxmlformats.org/officeDocument/2006/relationships/hyperlink" Id="rId271" Target="https://doi.org/10.1109/36.673687" TargetMode="External" /><Relationship Type="http://schemas.openxmlformats.org/officeDocument/2006/relationships/hyperlink" Id="rId289" Target="https://doi.org/10.1109/LGRS.2017.2753580" TargetMode="External" /><Relationship Type="http://schemas.openxmlformats.org/officeDocument/2006/relationships/hyperlink" Id="rId277" Target="https://doi.org/10.1109/TGRS.2008.2002881" TargetMode="External" /><Relationship Type="http://schemas.openxmlformats.org/officeDocument/2006/relationships/hyperlink" Id="rId291" Target="https://doi.org/10.1109/TGRS.2010.2051333" TargetMode="External" /><Relationship Type="http://schemas.openxmlformats.org/officeDocument/2006/relationships/hyperlink" Id="rId287" Target="https://doi.org/10.1109/TGRS.2010.2099124" TargetMode="External" /><Relationship Type="http://schemas.openxmlformats.org/officeDocument/2006/relationships/hyperlink" Id="rId283" Target="https://doi.org/10.1109/TGRS.2011.2120616" TargetMode="External" /><Relationship Type="http://schemas.openxmlformats.org/officeDocument/2006/relationships/hyperlink" Id="rId285" Target="https://doi.org/10.1109/TGRS.2012.2233206" TargetMode="External" /><Relationship Type="http://schemas.openxmlformats.org/officeDocument/2006/relationships/hyperlink" Id="rId281" Target="https://doi.org/10.1109/TGRS.2022.3147472"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Polarimetric Radar - Version 1.1.0-draft</dc:title>
  <dc:creator/>
  <dc:language>en</dc:language>
  <cp:keywords/>
  <dcterms:created xsi:type="dcterms:W3CDTF">2026-05-25T14:47:30Z</dcterms:created>
  <dcterms:modified xsi:type="dcterms:W3CDTF">2026-05-25T14:47:30Z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/home/runner/work/ceos-ard/ceos-ard/build/POL.bib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