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10.png" ContentType="image/png"/>
  <Override PartName="/word/media/rId306.png" ContentType="image/png"/>
  <Override PartName="/word/media/rId314.png" ContentType="image/png"/>
  <Override PartName="/word/media/rId326.png" ContentType="image/png"/>
  <Override PartName="/word/media/rId318.png" ContentType="image/png"/>
  <Override PartName="/word/media/rId3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32" w:name="X405d8e65832ac294d4126c2e16ac6a514f2a68e"/>
    <w:p>
      <w:pPr>
        <w:pStyle w:val="berschrift1"/>
      </w:pPr>
      <w:r>
        <w:t xml:space="preserve">CEOS-ARD - Synthetic Aperture Radar - Ocean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Ocean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patch"/>
    <w:p>
      <w:pPr>
        <w:pStyle w:val="berschrift3"/>
      </w:pPr>
      <w:r>
        <w:t xml:space="preserve">2026-03-26 (PATCH)</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“Cloud optimized file formats are recommended.”</w:t>
      </w:r>
      <w:r>
        <w:t xml:space="preserve"> </w:t>
      </w:r>
      <w:r>
        <w:t xml:space="preserve">has been moved from the category description to a separate requirement.</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Requirement</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Annex has been reformatted and updated as required by the split</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w:t>
        </w:r>
      </w:hyperlink>
      <w:r>
        <w:t xml:space="preserve"> </w:t>
      </w:r>
      <w:r>
        <w:t xml:space="preserve">for product type</w:t>
      </w:r>
      <w:r>
        <w:t xml:space="preserve"> </w:t>
      </w:r>
      <w:r>
        <w:t xml:space="preserve">“ORB”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P.V. Jayasri, ISRO, India</w:t>
      </w:r>
    </w:p>
    <w:p>
      <w:pPr>
        <w:pStyle w:val="Compact"/>
        <w:numPr>
          <w:ilvl w:val="0"/>
          <w:numId w:val="1002"/>
        </w:numPr>
      </w:pPr>
      <w:r>
        <w:t xml:space="preserve">Josef Kellndorfer, Earth Big Data,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Ocean Radar Backscatter (ORB)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Ocean Radar Backscatter (ORB) product specification describes products that have been projected on a geoid and are provided in the Sigma-Nought (</w:t>
      </w:r>
      <m:oMath>
        <m:sSup>
          <m:e>
            <m:r>
              <m:t>σ</m:t>
            </m:r>
          </m:e>
          <m:sup>
            <m:r>
              <m:t>0</m:t>
            </m:r>
          </m:sup>
        </m:sSup>
      </m:oMath>
      <w:r>
        <w:t xml:space="preserve">) backscatter convention, which is recommended for most ocean applications.</w:t>
      </w:r>
      <w:r>
        <w:t xml:space="preserve"> </w:t>
      </w:r>
      <w:r>
        <w:t xml:space="preserve">Backscatter may be calibrated to the ellipsoid (</w:t>
      </w:r>
      <m:oMath>
        <m:sSubSup>
          <m:e>
            <m:r>
              <m:t>σ</m:t>
            </m:r>
          </m:e>
          <m:sub>
            <m:r>
              <m:t>E</m:t>
            </m:r>
          </m:sub>
          <m:sup>
            <m:r>
              <m:t>0</m:t>
            </m:r>
          </m:sup>
        </m:sSubSup>
      </m:oMath>
      <w:r>
        <w:t xml:space="preserve">) or radiometrically terrain corrected (</w:t>
      </w:r>
      <m:oMath>
        <m:sSubSup>
          <m:e>
            <m:r>
              <m:t>σ</m:t>
            </m:r>
          </m:e>
          <m:sub>
            <m:r>
              <m:t>T</m:t>
            </m:r>
          </m:sub>
          <m:sup>
            <m:r>
              <m:t>0</m:t>
            </m:r>
          </m:sup>
        </m:sSubSup>
      </m:oMath>
      <w:r>
        <w:t xml:space="preserve">) prior to geometric terrain correction.</w:t>
      </w:r>
      <w:r>
        <w:t xml:space="preserve"> </w:t>
      </w:r>
      <w:r>
        <w:t xml:space="preserve">As the basic ORB product contains backscatter values only, it</w:t>
      </w:r>
      <w:r>
        <w:t xml:space="preserve"> </w:t>
      </w:r>
      <w:r>
        <w:rPr>
          <w:i/>
          <w:iCs/>
        </w:rPr>
        <w:t xml:space="preserve">cannot</w:t>
      </w:r>
      <w:r>
        <w:t xml:space="preserve"> </w:t>
      </w:r>
      <w:r>
        <w:t xml:space="preserve">be directly used for SAR polarimetry or interferometric applications that require local phase estimates.</w:t>
      </w:r>
      <w:r>
        <w:t xml:space="preserve"> </w:t>
      </w:r>
      <w:r>
        <w:t xml:space="preserve">Nonetheless, an advanced ORB product could include the upper diagonal of the polarimetric</w:t>
      </w:r>
      <w:r>
        <w:t xml:space="preserve"> </w:t>
      </w:r>
      <m:oMath>
        <m:sSup>
          <m:e>
            <m:r>
              <m:t>σ</m:t>
            </m:r>
          </m:e>
          <m:sup>
            <m:r>
              <m:t>0</m:t>
            </m:r>
          </m:sup>
        </m:sSup>
      </m:oMath>
      <w:r>
        <w:t xml:space="preserve"> </w:t>
      </w:r>
      <w:r>
        <w:t xml:space="preserve">covariance matrix for enabling advanced polarimetric analysis (similar to the POL product).</w:t>
      </w:r>
    </w:p>
    <w:p>
      <w:r>
        <w:br w:type="page"/>
      </w:r>
    </w:p>
    <w:bookmarkEnd w:id="36"/>
    <w:bookmarkStart w:id="37" w:name="definitions-and-abbreviations"/>
    <w:p>
      <w:pPr>
        <w:pStyle w:val="berschrift2"/>
      </w:pPr>
      <w:r>
        <w:t xml:space="preserve">Definitions and Abbreviations</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CovMat</w:t>
      </w:r>
    </w:p>
    <w:p>
      <w:pPr>
        <w:pStyle w:val="Definition"/>
      </w:pPr>
      <w:r>
        <w:t xml:space="preserve">Normalised Radar Covariance Matrix</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51"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 Section </w:t>
      </w:r>
      <w:r>
        <w:t xml:space="preserve">“</w:t>
      </w:r>
      <w:hyperlink w:anchor="sec:rcm-radacc-sar">
        <w:r>
          <w:rPr>
            <w:rStyle w:val="Hyperlink"/>
          </w:rPr>
          <w:t xml:space="preserve">Radiometrically Corrected Measurements: Radiometric Accuracy</w:t>
        </w:r>
      </w:hyperlink>
      <w:r>
        <w:t xml:space="preserve">”</w:t>
      </w:r>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case of composite products, the dates/times of the first and last data takes and the per-pixel metadata Section </w:t>
      </w:r>
      <w:r>
        <w:t xml:space="preserve">“</w:t>
      </w:r>
      <w:hyperlink w:anchor="sec:pxl-pacqid">
        <w:r>
          <w:rPr>
            <w:rStyle w:val="Hyperlink"/>
          </w:rPr>
          <w:t xml:space="preserve">Per-Pixel Metadata: Acquisition ID Image</w:t>
        </w:r>
      </w:hyperlink>
      <w:r>
        <w:t xml:space="preserve">”</w:t>
      </w:r>
      <w:r>
        <w:t xml:space="preserve"> </w:t>
      </w:r>
      <w:r>
        <w:t xml:space="preserve">is provided with the product.</w:t>
      </w:r>
    </w:p>
    <w:bookmarkEnd w:id="54"/>
    <w:bookmarkStart w:id="55" w:name="goal-requirements-4"/>
    <w:p>
      <w:pPr>
        <w:pStyle w:val="berschrift5"/>
      </w:pPr>
      <w:r>
        <w:t xml:space="preserve">Goal requirements:</w:t>
      </w:r>
    </w:p>
    <w:p>
      <w:pPr>
        <w:pStyle w:val="FirstParagraph"/>
      </w:pPr>
      <w:r>
        <w:t xml:space="preserve">As threshold.</w:t>
      </w:r>
      <w:r>
        <w:t xml:space="preserve"> </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3" w:name="sec:src"/>
    <w:p>
      <w:pPr>
        <w:pStyle w:val="berschrift3"/>
      </w:pPr>
      <w:r>
        <w:rPr>
          <w:rStyle w:val="VerbatimChar"/>
        </w:rPr>
        <w:t xml:space="preserve">2.</w:t>
      </w:r>
      <w:r>
        <w:t xml:space="preserve"> </w:t>
      </w:r>
      <w:r>
        <w:t xml:space="preserve">Source Metadata</w:t>
      </w:r>
    </w:p>
    <w:p>
      <w:pPr>
        <w:pStyle w:val="FirstParagraph"/>
      </w:pPr>
      <w:r>
        <w:t xml:space="preserve">These are metadata records describing (detailing)</w:t>
      </w:r>
      <w:r>
        <w:t xml:space="preserve"> </w:t>
      </w:r>
      <w:r>
        <w:rPr>
          <w:b/>
          <w:bCs/>
        </w:rPr>
        <w:t xml:space="preserve">each</w:t>
      </w:r>
      <w:r>
        <w:t xml:space="preserve"> </w:t>
      </w:r>
      <w:r>
        <w:t xml:space="preserve">acquisition (source data) used to generate the ARD product.</w:t>
      </w:r>
      <w:r>
        <w:t xml:space="preserve"> </w:t>
      </w:r>
      <w:r>
        <w:t xml:space="preserve">This may be one or mutliple acquisitions.</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Each acquisition is identified through a sequential identifier in the metadata, e.g. acqID = 1, 2, 3.</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including a reference to the relevant</w:t>
      </w:r>
      <w:r>
        <w:t xml:space="preserve"> </w:t>
      </w:r>
      <w:hyperlink r:id="rId68">
        <w:r>
          <w:rPr>
            <w:rStyle w:val="Hyperlink"/>
          </w:rPr>
          <w:t xml:space="preserve">CEOS Missions, Instruments and Measurements Database</w:t>
        </w:r>
      </w:hyperlink>
      <w:r>
        <w:t xml:space="preserve"> </w:t>
      </w:r>
      <w:r>
        <w:t xml:space="preserve">record.</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4"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1"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w:t>
      </w:r>
      <w:r>
        <w:rPr>
          <w:rStyle w:val="Funotenzeichen"/>
        </w:rPr>
        <w:footnoteReference w:id="80"/>
      </w:r>
    </w:p>
    <w:p>
      <w:pPr>
        <w:pStyle w:val="Compact"/>
        <w:numPr>
          <w:ilvl w:val="0"/>
          <w:numId w:val="1016"/>
        </w:numPr>
      </w:pPr>
      <w:r>
        <w:t xml:space="preserve">Orbit data source (e.g., predicted, definite, precise, downlinked, etc.)</w:t>
      </w:r>
    </w:p>
    <w:bookmarkEnd w:id="81"/>
    <w:bookmarkStart w:id="82" w:name="goal-requirements-10"/>
    <w:p>
      <w:pPr>
        <w:pStyle w:val="berschrift5"/>
      </w:pPr>
      <w:r>
        <w:t xml:space="preserve">Goal requirements:</w:t>
      </w:r>
    </w:p>
    <w:p>
      <w:pPr>
        <w:pStyle w:val="FirstParagraph"/>
      </w:pPr>
      <w:r>
        <w:t xml:space="preserve">As threshold, including also:</w:t>
      </w:r>
    </w:p>
    <w:p>
      <w:pPr>
        <w:pStyle w:val="Compact"/>
        <w:numPr>
          <w:ilvl w:val="0"/>
          <w:numId w:val="1017"/>
        </w:numPr>
      </w:pPr>
      <w:r>
        <w:t xml:space="preserve">Platform heading angle expressed in degrees (0-360) from North</w:t>
      </w:r>
    </w:p>
    <w:p>
      <w:pPr>
        <w:pStyle w:val="Compact"/>
        <w:numPr>
          <w:ilvl w:val="0"/>
          <w:numId w:val="1017"/>
        </w:numPr>
      </w:pPr>
      <w:r>
        <w:t xml:space="preserve">Orbit data file containing state vectors (minimum of 5 state vectors, from 10% of scene length before start time to 10% of scene length after stop time)</w:t>
      </w:r>
    </w:p>
    <w:p>
      <w:pPr>
        <w:pStyle w:val="Compact"/>
        <w:numPr>
          <w:ilvl w:val="0"/>
          <w:numId w:val="1017"/>
        </w:numPr>
      </w:pPr>
      <w:r>
        <w:t xml:space="preserve">Platform (mean) altitude</w:t>
      </w:r>
    </w:p>
    <w:bookmarkEnd w:id="82"/>
    <w:bookmarkStart w:id="83" w:name="assessment-10"/>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3"/>
    <w:bookmarkEnd w:id="84"/>
    <w:bookmarkStart w:id="88"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5"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19"/>
        </w:numPr>
      </w:pPr>
      <w:r>
        <w:t xml:space="preserve">Processing facility</w:t>
      </w:r>
    </w:p>
    <w:p>
      <w:pPr>
        <w:pStyle w:val="Compact"/>
        <w:numPr>
          <w:ilvl w:val="0"/>
          <w:numId w:val="1019"/>
        </w:numPr>
      </w:pPr>
      <w:r>
        <w:t xml:space="preserve">Processing date</w:t>
      </w:r>
    </w:p>
    <w:p>
      <w:pPr>
        <w:pStyle w:val="Compact"/>
        <w:numPr>
          <w:ilvl w:val="0"/>
          <w:numId w:val="1019"/>
        </w:numPr>
      </w:pPr>
      <w:r>
        <w:t xml:space="preserve">Software version</w:t>
      </w:r>
    </w:p>
    <w:p>
      <w:pPr>
        <w:pStyle w:val="Compact"/>
        <w:numPr>
          <w:ilvl w:val="0"/>
          <w:numId w:val="1019"/>
        </w:numPr>
      </w:pPr>
      <w:r>
        <w:t xml:space="preserve">Product level</w:t>
      </w:r>
    </w:p>
    <w:p>
      <w:pPr>
        <w:pStyle w:val="Compact"/>
        <w:numPr>
          <w:ilvl w:val="0"/>
          <w:numId w:val="1019"/>
        </w:numPr>
      </w:pPr>
      <w:r>
        <w:t xml:space="preserve">Product ID (file name)</w:t>
      </w:r>
    </w:p>
    <w:p>
      <w:pPr>
        <w:pStyle w:val="Compact"/>
        <w:numPr>
          <w:ilvl w:val="0"/>
          <w:numId w:val="1019"/>
        </w:numPr>
      </w:pPr>
      <w:r>
        <w:t xml:space="preserve">Azimuth number of looks</w:t>
      </w:r>
    </w:p>
    <w:p>
      <w:pPr>
        <w:pStyle w:val="Compact"/>
        <w:numPr>
          <w:ilvl w:val="0"/>
          <w:numId w:val="1019"/>
        </w:numPr>
      </w:pPr>
      <w:r>
        <w:t xml:space="preserve">Range number of looks (separate values for each beam, as necessary)</w:t>
      </w:r>
    </w:p>
    <w:bookmarkEnd w:id="85"/>
    <w:bookmarkStart w:id="86"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6"/>
    <w:bookmarkStart w:id="87"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7"/>
    <w:bookmarkEnd w:id="88"/>
    <w:bookmarkStart w:id="92"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9"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1"/>
        </w:numPr>
      </w:pPr>
      <w:r>
        <w:t xml:space="preserve">Source Data geometry (slant range/ground range)</w:t>
      </w:r>
    </w:p>
    <w:p>
      <w:pPr>
        <w:pStyle w:val="Compact"/>
        <w:numPr>
          <w:ilvl w:val="0"/>
          <w:numId w:val="1021"/>
        </w:numPr>
      </w:pPr>
      <w:r>
        <w:t xml:space="preserve">Azimuth pixel spacing [m] (alternatively, Azimuth pixel spacing can be provided in second [s], equivalent to the azimuth time sample interval)</w:t>
      </w:r>
    </w:p>
    <w:p>
      <w:pPr>
        <w:pStyle w:val="Compact"/>
        <w:numPr>
          <w:ilvl w:val="0"/>
          <w:numId w:val="1021"/>
        </w:numPr>
      </w:pPr>
      <w:r>
        <w:t xml:space="preserve">Range pixel spacing</w:t>
      </w:r>
    </w:p>
    <w:p>
      <w:pPr>
        <w:pStyle w:val="Compact"/>
        <w:numPr>
          <w:ilvl w:val="0"/>
          <w:numId w:val="1021"/>
        </w:numPr>
      </w:pPr>
      <w:r>
        <w:t xml:space="preserve">Azimuth resolution</w:t>
      </w:r>
    </w:p>
    <w:p>
      <w:pPr>
        <w:pStyle w:val="Compact"/>
        <w:numPr>
          <w:ilvl w:val="0"/>
          <w:numId w:val="1021"/>
        </w:numPr>
      </w:pPr>
      <w:r>
        <w:t xml:space="preserve">Range resolution</w:t>
      </w:r>
    </w:p>
    <w:p>
      <w:pPr>
        <w:pStyle w:val="Compact"/>
        <w:numPr>
          <w:ilvl w:val="0"/>
          <w:numId w:val="1021"/>
        </w:numPr>
      </w:pPr>
      <w:r>
        <w:t xml:space="preserve">Near range incident angle</w:t>
      </w:r>
    </w:p>
    <w:p>
      <w:pPr>
        <w:pStyle w:val="Compact"/>
        <w:numPr>
          <w:ilvl w:val="0"/>
          <w:numId w:val="1021"/>
        </w:numPr>
      </w:pPr>
      <w:r>
        <w:t xml:space="preserve">Far range incident angle</w:t>
      </w:r>
    </w:p>
    <w:bookmarkEnd w:id="89"/>
    <w:bookmarkStart w:id="90" w:name="goal-requirements-12"/>
    <w:p>
      <w:pPr>
        <w:pStyle w:val="berschrift5"/>
      </w:pPr>
      <w:r>
        <w:t xml:space="preserve">Goal requirements:</w:t>
      </w:r>
    </w:p>
    <w:p>
      <w:pPr>
        <w:pStyle w:val="FirstParagraph"/>
      </w:pPr>
      <w:r>
        <w:t xml:space="preserve">Geometry of the image footprint expressed in WGS84 in a standardised format (e.g., WKT).</w:t>
      </w:r>
    </w:p>
    <w:bookmarkEnd w:id="90"/>
    <w:bookmarkStart w:id="91"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91"/>
    <w:bookmarkEnd w:id="92"/>
    <w:bookmarkStart w:id="96"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3" w:name="threshold-requirements-13"/>
    <w:p>
      <w:pPr>
        <w:pStyle w:val="berschrift5"/>
      </w:pPr>
      <w:r>
        <w:t xml:space="preserve">Threshold requirements:</w:t>
      </w:r>
    </w:p>
    <w:p>
      <w:pPr>
        <w:pStyle w:val="FirstParagraph"/>
      </w:pPr>
      <w:r>
        <w:t xml:space="preserve">Not required.</w:t>
      </w:r>
      <w:r>
        <w:t xml:space="preserve"> </w:t>
      </w:r>
    </w:p>
    <w:bookmarkEnd w:id="93"/>
    <w:bookmarkStart w:id="94"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4"/>
    <w:bookmarkStart w:id="95" w:name="assessment-13"/>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95"/>
    <w:bookmarkEnd w:id="96"/>
    <w:bookmarkStart w:id="100"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7"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7"/>
    <w:bookmarkStart w:id="98"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8"/>
    <w:bookmarkStart w:id="99" w:name="assessment-14"/>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9"/>
    <w:bookmarkEnd w:id="100"/>
    <w:bookmarkStart w:id="104"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1" w:name="threshold-requirements-15"/>
    <w:p>
      <w:pPr>
        <w:pStyle w:val="berschrift5"/>
      </w:pPr>
      <w:r>
        <w:t xml:space="preserve">Threshold requirements:</w:t>
      </w:r>
    </w:p>
    <w:p>
      <w:pPr>
        <w:pStyle w:val="FirstParagraph"/>
      </w:pPr>
      <w:r>
        <w:t xml:space="preserve">Not required.</w:t>
      </w:r>
      <w:r>
        <w:t xml:space="preserve"> </w:t>
      </w:r>
    </w:p>
    <w:bookmarkEnd w:id="101"/>
    <w:bookmarkStart w:id="102"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2"/>
    <w:bookmarkStart w:id="103" w:name="assessment-15"/>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03"/>
    <w:bookmarkEnd w:id="104"/>
    <w:bookmarkStart w:id="108"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5" w:name="threshold-requirements-16"/>
    <w:p>
      <w:pPr>
        <w:pStyle w:val="berschrift5"/>
      </w:pPr>
      <w:r>
        <w:t xml:space="preserve">Threshold requirements:</w:t>
      </w:r>
    </w:p>
    <w:p>
      <w:pPr>
        <w:pStyle w:val="FirstParagraph"/>
      </w:pPr>
      <w:r>
        <w:t xml:space="preserve">Not required.</w:t>
      </w:r>
      <w:r>
        <w:t xml:space="preserve"> </w:t>
      </w:r>
    </w:p>
    <w:bookmarkEnd w:id="105"/>
    <w:bookmarkStart w:id="106"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6"/>
    <w:bookmarkStart w:id="107" w:name="assessment-16"/>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107"/>
    <w:bookmarkEnd w:id="108"/>
    <w:bookmarkStart w:id="112"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9" w:name="threshold-requirements-17"/>
    <w:p>
      <w:pPr>
        <w:pStyle w:val="berschrift5"/>
      </w:pPr>
      <w:r>
        <w:t xml:space="preserve">Threshold requirements:</w:t>
      </w:r>
    </w:p>
    <w:p>
      <w:pPr>
        <w:pStyle w:val="FirstParagraph"/>
      </w:pPr>
      <w:r>
        <w:t xml:space="preserve">Not required.</w:t>
      </w:r>
      <w:r>
        <w:t xml:space="preserve"> </w:t>
      </w:r>
    </w:p>
    <w:bookmarkEnd w:id="109"/>
    <w:bookmarkStart w:id="110"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10"/>
    <w:bookmarkStart w:id="111" w:name="assessment-17"/>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bookmarkEnd w:id="111"/>
    <w:bookmarkEnd w:id="112"/>
    <w:bookmarkEnd w:id="113"/>
    <w:bookmarkStart w:id="163"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7"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4"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28"/>
        </w:numPr>
      </w:pPr>
      <w:r>
        <w:t xml:space="preserve">Processing facility</w:t>
      </w:r>
    </w:p>
    <w:p>
      <w:pPr>
        <w:pStyle w:val="Compact"/>
        <w:numPr>
          <w:ilvl w:val="0"/>
          <w:numId w:val="1028"/>
        </w:numPr>
      </w:pPr>
      <w:r>
        <w:t xml:space="preserve">Processing date</w:t>
      </w:r>
    </w:p>
    <w:p>
      <w:pPr>
        <w:pStyle w:val="Compact"/>
        <w:numPr>
          <w:ilvl w:val="0"/>
          <w:numId w:val="1028"/>
        </w:numPr>
      </w:pPr>
      <w:r>
        <w:t xml:space="preserve">Software version</w:t>
      </w:r>
    </w:p>
    <w:p>
      <w:pPr>
        <w:pStyle w:val="Compact"/>
        <w:numPr>
          <w:ilvl w:val="0"/>
          <w:numId w:val="1028"/>
        </w:numPr>
      </w:pPr>
      <w:r>
        <w:t xml:space="preserve">Location from where CEOS-ARD product can be retrieved, expressed as a URL or DOI.</w:t>
      </w:r>
    </w:p>
    <w:bookmarkEnd w:id="114"/>
    <w:bookmarkStart w:id="115"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5"/>
    <w:bookmarkStart w:id="116" w:name="assessment-18"/>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16"/>
    <w:bookmarkEnd w:id="117"/>
    <w:bookmarkStart w:id="121"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8" w:name="threshold-requirements-19"/>
    <w:p>
      <w:pPr>
        <w:pStyle w:val="berschrift5"/>
      </w:pPr>
      <w:r>
        <w:t xml:space="preserve">Threshold requirements:</w:t>
      </w:r>
    </w:p>
    <w:p>
      <w:pPr>
        <w:pStyle w:val="FirstParagraph"/>
      </w:pPr>
      <w:r>
        <w:t xml:space="preserve">Not required.</w:t>
      </w:r>
      <w:r>
        <w:t xml:space="preserve"> </w:t>
      </w:r>
    </w:p>
    <w:bookmarkEnd w:id="118"/>
    <w:bookmarkStart w:id="119"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0"/>
        </w:numPr>
      </w:pPr>
      <w:r>
        <w:t xml:space="preserve">Auxiliary data includes DEMs, etc., and any additional data sources used in the generation of the product.</w:t>
      </w:r>
    </w:p>
    <w:bookmarkEnd w:id="119"/>
    <w:bookmarkStart w:id="120" w:name="assessment-19"/>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20"/>
    <w:bookmarkEnd w:id="121"/>
    <w:bookmarkStart w:id="125"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2"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2"/>
        </w:numPr>
      </w:pPr>
      <w:r>
        <w:t xml:space="preserve">Pixel (column) spacing</w:t>
      </w:r>
    </w:p>
    <w:p>
      <w:pPr>
        <w:pStyle w:val="Compact"/>
        <w:numPr>
          <w:ilvl w:val="0"/>
          <w:numId w:val="1032"/>
        </w:numPr>
      </w:pPr>
      <w:r>
        <w:t xml:space="preserve">Line (row) spacing</w:t>
      </w:r>
    </w:p>
    <w:bookmarkEnd w:id="122"/>
    <w:bookmarkStart w:id="123" w:name="goal-requirements-20"/>
    <w:p>
      <w:pPr>
        <w:pStyle w:val="berschrift5"/>
      </w:pPr>
      <w:r>
        <w:t xml:space="preserve">Goal requirements:</w:t>
      </w:r>
    </w:p>
    <w:p>
      <w:pPr>
        <w:pStyle w:val="FirstParagraph"/>
      </w:pPr>
      <w:r>
        <w:t xml:space="preserve">As threshold.</w:t>
      </w:r>
      <w:r>
        <w:t xml:space="preserve"> </w:t>
      </w:r>
    </w:p>
    <w:bookmarkEnd w:id="123"/>
    <w:bookmarkStart w:id="124" w:name="assessment-20"/>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24"/>
    <w:bookmarkEnd w:id="125"/>
    <w:bookmarkStart w:id="129"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6" w:name="threshold-requirements-21"/>
    <w:p>
      <w:pPr>
        <w:pStyle w:val="berschrift5"/>
      </w:pPr>
      <w:r>
        <w:t xml:space="preserve">Threshold requirements:</w:t>
      </w:r>
    </w:p>
    <w:p>
      <w:pPr>
        <w:pStyle w:val="FirstParagraph"/>
      </w:pPr>
      <w:r>
        <w:t xml:space="preserve">Not required.</w:t>
      </w:r>
      <w:r>
        <w:t xml:space="preserve"> </w:t>
      </w:r>
    </w:p>
    <w:bookmarkEnd w:id="126"/>
    <w:bookmarkStart w:id="127" w:name="goal-requirements-21"/>
    <w:p>
      <w:pPr>
        <w:pStyle w:val="berschrift5"/>
      </w:pPr>
      <w:r>
        <w:t xml:space="preserve">Goal requirements:</w:t>
      </w:r>
    </w:p>
    <w:p>
      <w:pPr>
        <w:pStyle w:val="FirstParagraph"/>
      </w:pPr>
      <w:r>
        <w:t xml:space="preserve">Equivalent Number of Looks (ENL)</w:t>
      </w:r>
    </w:p>
    <w:bookmarkEnd w:id="127"/>
    <w:bookmarkStart w:id="128" w:name="assessment-21"/>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8"/>
    <w:bookmarkEnd w:id="129"/>
    <w:bookmarkStart w:id="133"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30" w:name="threshold-requirements-22"/>
    <w:p>
      <w:pPr>
        <w:pStyle w:val="berschrift5"/>
      </w:pPr>
      <w:r>
        <w:t xml:space="preserve">Threshold requirements:</w:t>
      </w:r>
    </w:p>
    <w:p>
      <w:pPr>
        <w:pStyle w:val="FirstParagraph"/>
      </w:pPr>
      <w:r>
        <w:t xml:space="preserve">Not required.</w:t>
      </w:r>
      <w:r>
        <w:t xml:space="preserve"> </w:t>
      </w:r>
    </w:p>
    <w:bookmarkEnd w:id="130"/>
    <w:bookmarkStart w:id="131"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5"/>
        </w:numPr>
      </w:pPr>
      <w:r>
        <w:t xml:space="preserve">Columns</w:t>
      </w:r>
    </w:p>
    <w:p>
      <w:pPr>
        <w:pStyle w:val="Compact"/>
        <w:numPr>
          <w:ilvl w:val="0"/>
          <w:numId w:val="1035"/>
        </w:numPr>
      </w:pPr>
      <w:r>
        <w:t xml:space="preserve">Rows</w:t>
      </w:r>
    </w:p>
    <w:bookmarkEnd w:id="131"/>
    <w:bookmarkStart w:id="132"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32"/>
    <w:bookmarkEnd w:id="133"/>
    <w:bookmarkStart w:id="137"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4"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37"/>
        </w:numPr>
      </w:pPr>
      <w:r>
        <w:t xml:space="preserve">Reference to algorithm as DOI or URL</w:t>
      </w:r>
    </w:p>
    <w:p>
      <w:pPr>
        <w:pStyle w:val="Compact"/>
        <w:numPr>
          <w:ilvl w:val="0"/>
          <w:numId w:val="1037"/>
        </w:numPr>
      </w:pPr>
      <w:r>
        <w:t xml:space="preserve">Input filtering parameters</w:t>
      </w:r>
    </w:p>
    <w:p>
      <w:pPr>
        <w:pStyle w:val="Compact"/>
        <w:numPr>
          <w:ilvl w:val="1"/>
          <w:numId w:val="1038"/>
        </w:numPr>
      </w:pPr>
      <w:r>
        <w:t xml:space="preserve">Type</w:t>
      </w:r>
    </w:p>
    <w:p>
      <w:pPr>
        <w:pStyle w:val="Compact"/>
        <w:numPr>
          <w:ilvl w:val="1"/>
          <w:numId w:val="1038"/>
        </w:numPr>
      </w:pPr>
      <w:r>
        <w:t xml:space="preserve">Window size in pixel units</w:t>
      </w:r>
    </w:p>
    <w:p>
      <w:pPr>
        <w:pStyle w:val="Compact"/>
        <w:numPr>
          <w:ilvl w:val="1"/>
          <w:numId w:val="1038"/>
        </w:numPr>
      </w:pPr>
      <w:r>
        <w:t xml:space="preserve">Any other parameters defining the speckle filter used</w:t>
      </w:r>
    </w:p>
    <w:bookmarkEnd w:id="134"/>
    <w:bookmarkStart w:id="135" w:name="goal-requirements-23"/>
    <w:p>
      <w:pPr>
        <w:pStyle w:val="berschrift5"/>
      </w:pPr>
      <w:r>
        <w:t xml:space="preserve">Goal requirements:</w:t>
      </w:r>
    </w:p>
    <w:p>
      <w:pPr>
        <w:pStyle w:val="FirstParagraph"/>
      </w:pPr>
      <w:r>
        <w:t xml:space="preserve">As threshold.</w:t>
      </w:r>
      <w:r>
        <w:t xml:space="preserve"> </w:t>
      </w:r>
    </w:p>
    <w:bookmarkEnd w:id="135"/>
    <w:bookmarkStart w:id="136" w:name="assessment-23"/>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6"/>
    <w:bookmarkEnd w:id="137"/>
    <w:bookmarkStart w:id="141"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8"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 Section </w:t>
      </w:r>
      <w:r>
        <w:t xml:space="preserve">“</w:t>
      </w:r>
      <w:hyperlink w:anchor="sec:prd-crs-sar">
        <w:r>
          <w:rPr>
            <w:rStyle w:val="Hyperlink"/>
          </w:rPr>
          <w:t xml:space="preserve">Product Metadata: Product Coordinate Reference System</w:t>
        </w:r>
      </w:hyperlink>
      <w:r>
        <w:t xml:space="preserve">”</w:t>
      </w:r>
      <w:r>
        <w:t xml:space="preserve">.</w:t>
      </w:r>
    </w:p>
    <w:p>
      <w:pPr>
        <w:pStyle w:val="Textkrper"/>
      </w:pPr>
      <w:r>
        <w:t xml:space="preserve">Note:</w:t>
      </w:r>
    </w:p>
    <w:p>
      <w:pPr>
        <w:pStyle w:val="Compact"/>
        <w:numPr>
          <w:ilvl w:val="0"/>
          <w:numId w:val="1040"/>
        </w:numPr>
      </w:pPr>
      <w:r>
        <w:t xml:space="preserve">Four corners of the product file are recommended for scenes crossing the Antemeridian, or the North or the South Pole.</w:t>
      </w:r>
    </w:p>
    <w:bookmarkEnd w:id="138"/>
    <w:bookmarkStart w:id="139" w:name="goal-requirements-24"/>
    <w:p>
      <w:pPr>
        <w:pStyle w:val="berschrift5"/>
      </w:pPr>
      <w:r>
        <w:t xml:space="preserve">Goal requirements:</w:t>
      </w:r>
    </w:p>
    <w:p>
      <w:pPr>
        <w:pStyle w:val="FirstParagraph"/>
      </w:pPr>
      <w:r>
        <w:t xml:space="preserve">As threshold.</w:t>
      </w:r>
      <w:r>
        <w:t xml:space="preserve"> </w:t>
      </w:r>
    </w:p>
    <w:bookmarkEnd w:id="139"/>
    <w:bookmarkStart w:id="140" w:name="assessment-24"/>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0"/>
    <w:bookmarkEnd w:id="141"/>
    <w:bookmarkStart w:id="145"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2" w:name="threshold-requirements-25"/>
    <w:p>
      <w:pPr>
        <w:pStyle w:val="berschrift5"/>
      </w:pPr>
      <w:r>
        <w:t xml:space="preserve">Threshold requirements:</w:t>
      </w:r>
    </w:p>
    <w:p>
      <w:pPr>
        <w:pStyle w:val="FirstParagraph"/>
      </w:pPr>
      <w:r>
        <w:t xml:space="preserve">The geometry of the SAR image footprint expressed in WGS84, in a standardised format (e.g., WKT Polygon).</w:t>
      </w:r>
    </w:p>
    <w:bookmarkEnd w:id="142"/>
    <w:bookmarkStart w:id="143" w:name="goal-requirements-25"/>
    <w:p>
      <w:pPr>
        <w:pStyle w:val="berschrift5"/>
      </w:pPr>
      <w:r>
        <w:t xml:space="preserve">Goal requirements:</w:t>
      </w:r>
    </w:p>
    <w:p>
      <w:pPr>
        <w:pStyle w:val="FirstParagraph"/>
      </w:pPr>
      <w:r>
        <w:t xml:space="preserve">As threshold.</w:t>
      </w:r>
      <w:r>
        <w:t xml:space="preserve"> </w:t>
      </w:r>
    </w:p>
    <w:bookmarkEnd w:id="143"/>
    <w:bookmarkStart w:id="144" w:name="assessment-25"/>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44"/>
    <w:bookmarkEnd w:id="145"/>
    <w:bookmarkStart w:id="149"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6"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3"/>
        </w:numPr>
      </w:pPr>
      <w:r>
        <w:t xml:space="preserve">Number of lines</w:t>
      </w:r>
    </w:p>
    <w:p>
      <w:pPr>
        <w:pStyle w:val="Compact"/>
        <w:numPr>
          <w:ilvl w:val="0"/>
          <w:numId w:val="1043"/>
        </w:numPr>
      </w:pPr>
      <w:r>
        <w:t xml:space="preserve">Number of pixels per line</w:t>
      </w:r>
    </w:p>
    <w:p>
      <w:pPr>
        <w:pStyle w:val="Compact"/>
        <w:numPr>
          <w:ilvl w:val="0"/>
          <w:numId w:val="1043"/>
        </w:numPr>
      </w:pPr>
      <w:r>
        <w:t xml:space="preserve">File header size (if applicable)</w:t>
      </w:r>
    </w:p>
    <w:p>
      <w:pPr>
        <w:pStyle w:val="Compact"/>
        <w:numPr>
          <w:ilvl w:val="0"/>
          <w:numId w:val="1043"/>
        </w:numPr>
      </w:pPr>
      <w:r>
        <w:t xml:space="preserve">Number of no-data border pixels (if applicable)</w:t>
      </w:r>
    </w:p>
    <w:bookmarkEnd w:id="146"/>
    <w:bookmarkStart w:id="147" w:name="goal-requirements-26"/>
    <w:p>
      <w:pPr>
        <w:pStyle w:val="berschrift5"/>
      </w:pPr>
      <w:r>
        <w:t xml:space="preserve">Goal requirements:</w:t>
      </w:r>
    </w:p>
    <w:p>
      <w:pPr>
        <w:pStyle w:val="FirstParagraph"/>
      </w:pPr>
      <w:r>
        <w:t xml:space="preserve">As threshold.</w:t>
      </w:r>
      <w:r>
        <w:t xml:space="preserve"> </w:t>
      </w:r>
    </w:p>
    <w:bookmarkEnd w:id="147"/>
    <w:bookmarkStart w:id="148" w:name="assessment-26"/>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8"/>
    <w:bookmarkEnd w:id="149"/>
    <w:bookmarkStart w:id="153"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50"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50"/>
    <w:bookmarkStart w:id="151" w:name="goal-requirements-27"/>
    <w:p>
      <w:pPr>
        <w:pStyle w:val="berschrift5"/>
      </w:pPr>
      <w:r>
        <w:t xml:space="preserve">Goal requirements:</w:t>
      </w:r>
    </w:p>
    <w:p>
      <w:pPr>
        <w:pStyle w:val="FirstParagraph"/>
      </w:pPr>
      <w:r>
        <w:t xml:space="preserve">As threshold.</w:t>
      </w:r>
      <w:r>
        <w:t xml:space="preserve"> </w:t>
      </w:r>
    </w:p>
    <w:bookmarkEnd w:id="151"/>
    <w:bookmarkStart w:id="152" w:name="assessment-27"/>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52"/>
    <w:bookmarkEnd w:id="153"/>
    <w:bookmarkStart w:id="157"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4"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r>
        <w:br/>
      </w:r>
      <w:r>
        <w:t xml:space="preserve">Indicate EPSG code, if defined for the CRS.</w:t>
      </w:r>
    </w:p>
    <w:bookmarkEnd w:id="154"/>
    <w:bookmarkStart w:id="155" w:name="goal-requirements-28"/>
    <w:p>
      <w:pPr>
        <w:pStyle w:val="berschrift5"/>
      </w:pPr>
      <w:r>
        <w:t xml:space="preserve">Goal requirements:</w:t>
      </w:r>
    </w:p>
    <w:p>
      <w:pPr>
        <w:pStyle w:val="FirstParagraph"/>
      </w:pPr>
      <w:r>
        <w:t xml:space="preserve">As threshold.</w:t>
      </w:r>
      <w:r>
        <w:t xml:space="preserve"> </w:t>
      </w:r>
    </w:p>
    <w:bookmarkEnd w:id="155"/>
    <w:bookmarkStart w:id="156"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6"/>
    <w:bookmarkEnd w:id="157"/>
    <w:bookmarkStart w:id="162" w:name="sec:prd-lookdip"/>
    <w:p>
      <w:pPr>
        <w:pStyle w:val="berschrift4"/>
      </w:pPr>
      <w:r>
        <w:rPr>
          <w:rStyle w:val="VerbatimChar"/>
        </w:rPr>
        <w:t xml:space="preserve">3.12.</w:t>
      </w:r>
      <w:r>
        <w:t xml:space="preserve"> </w:t>
      </w:r>
      <w:r>
        <w:t xml:space="preserve">Look Direction Polynomials</w:t>
      </w:r>
    </w:p>
    <w:p>
      <w:pPr>
        <w:pStyle w:val="FirstParagraph"/>
      </w:pPr>
      <w:r>
        <w:t xml:space="preserve">Identifier:</w:t>
      </w:r>
      <w:r>
        <w:t xml:space="preserve"> </w:t>
      </w:r>
      <w:r>
        <w:rPr>
          <w:rStyle w:val="VerbatimChar"/>
        </w:rPr>
        <w:t xml:space="preserve">prd-lookdip</w:t>
      </w:r>
    </w:p>
    <w:bookmarkStart w:id="159" w:name="threshold-requirements-29"/>
    <w:p>
      <w:pPr>
        <w:pStyle w:val="berschrift5"/>
      </w:pPr>
      <w:r>
        <w:t xml:space="preserve">Threshold requirements:</w:t>
      </w:r>
    </w:p>
    <w:p>
      <w:pPr>
        <w:pStyle w:val="FirstParagraph"/>
      </w:pPr>
      <w:r>
        <w:t xml:space="preserve">In case the Look Direction Image (see Section </w:t>
      </w:r>
      <w:r>
        <w:t xml:space="preserve">“</w:t>
      </w:r>
      <w:hyperlink w:anchor="sec:pxl-lookdiri">
        <w:r>
          <w:rPr>
            <w:rStyle w:val="Hyperlink"/>
          </w:rPr>
          <w:t xml:space="preserve">Per-Pixel Metadata: Look Direction Image</w:t>
        </w:r>
      </w:hyperlink>
      <w:r>
        <w:t xml:space="preserve">”</w:t>
      </w:r>
      <w:r>
        <w:t xml:space="preserve">) is</w:t>
      </w:r>
      <w:r>
        <w:t xml:space="preserve"> </w:t>
      </w:r>
      <w:r>
        <w:rPr>
          <w:b/>
          <w:bCs/>
        </w:rPr>
        <w:t xml:space="preserve">not</w:t>
      </w:r>
      <w:r>
        <w:t xml:space="preserve"> </w:t>
      </w:r>
      <w:r>
        <w:t xml:space="preserve">provided, then a list of the polynomial coefficients are necessary to reconstruct the look direction angle</w:t>
      </w:r>
      <w:r>
        <w:rPr>
          <w:rStyle w:val="Funotenzeichen"/>
        </w:rPr>
        <w:footnoteReference w:id="158"/>
      </w:r>
      <w:r>
        <w:t xml:space="preserve">, together with an estimate of the added error from use of polynomial vs. per-pixel more accurate values, shall be provided.</w:t>
      </w:r>
    </w:p>
    <w:p>
      <w:pPr>
        <w:pStyle w:val="Textkrper"/>
      </w:pPr>
      <w:r>
        <w:t xml:space="preserve">Example polynomial:</w:t>
      </w:r>
    </w:p>
    <w:p>
      <w:pPr>
        <w:pStyle w:val="Textkrper"/>
      </w:pPr>
      <m:oMathPara>
        <m:oMathParaPr>
          <m:jc m:val="center"/>
        </m:oMathParaPr>
        <m:oMath>
          <m:r>
            <m:rPr>
              <m:nor/>
              <m:sty m:val="p"/>
            </m:rPr>
            <m:t>LookDir</m:t>
          </m:r>
          <m:r>
            <m:rPr>
              <m:sty m:val="p"/>
            </m:rPr>
            <m:t>=</m:t>
          </m:r>
          <m:sSub>
            <m:e>
              <m:r>
                <m:t>a</m:t>
              </m:r>
            </m:e>
            <m:sub>
              <m:r>
                <m:t>1</m:t>
              </m:r>
            </m:sub>
          </m:sSub>
          <m:sSup>
            <m:e>
              <m:r>
                <m:rPr>
                  <m:nor/>
                  <m:sty m:val="p"/>
                </m:rPr>
                <m:t>Lat</m:t>
              </m:r>
            </m:e>
            <m:sup>
              <m:r>
                <m:t>2</m:t>
              </m:r>
            </m:sup>
          </m:sSup>
          <m:r>
            <m:rPr>
              <m:sty m:val="p"/>
            </m:rPr>
            <m:t>+</m:t>
          </m:r>
          <m:sSub>
            <m:e>
              <m:r>
                <m:t>a</m:t>
              </m:r>
            </m:e>
            <m:sub>
              <m:r>
                <m:t>2</m:t>
              </m:r>
            </m:sub>
          </m:sSub>
          <m:sSup>
            <m:e>
              <m:r>
                <m:rPr>
                  <m:nor/>
                  <m:sty m:val="p"/>
                </m:rPr>
                <m:t>Lon</m:t>
              </m:r>
            </m:e>
            <m:sup>
              <m:r>
                <m:t>2</m:t>
              </m:r>
            </m:sup>
          </m:sSup>
          <m:r>
            <m:rPr>
              <m:sty m:val="p"/>
            </m:rPr>
            <m:t>+</m:t>
          </m:r>
          <m:sSub>
            <m:e>
              <m:r>
                <m:t>a</m:t>
              </m:r>
            </m:e>
            <m:sub>
              <m:r>
                <m:t>3</m:t>
              </m:r>
            </m:sub>
          </m:sSub>
          <m:r>
            <m:rPr>
              <m:nor/>
              <m:sty m:val="p"/>
            </m:rPr>
            <m:t>LatLon</m:t>
          </m:r>
          <m:r>
            <m:rPr>
              <m:sty m:val="p"/>
            </m:rPr>
            <m:t>+</m:t>
          </m:r>
          <m:sSub>
            <m:e>
              <m:r>
                <m:t>a</m:t>
              </m:r>
            </m:e>
            <m:sub>
              <m:r>
                <m:t>4</m:t>
              </m:r>
            </m:sub>
          </m:sSub>
          <m:r>
            <m:rPr>
              <m:nor/>
              <m:sty m:val="p"/>
            </m:rPr>
            <m:t>Lat</m:t>
          </m:r>
          <m:r>
            <m:rPr>
              <m:sty m:val="p"/>
            </m:rPr>
            <m:t>+</m:t>
          </m:r>
          <m:sSub>
            <m:e>
              <m:r>
                <m:t>a</m:t>
              </m:r>
            </m:e>
            <m:sub>
              <m:r>
                <m:t>5</m:t>
              </m:r>
            </m:sub>
          </m:sSub>
          <m:r>
            <m:rPr>
              <m:nor/>
              <m:sty m:val="p"/>
            </m:rPr>
            <m:t>Lon</m:t>
          </m:r>
          <m:r>
            <m:rPr>
              <m:sty m:val="p"/>
            </m:rPr>
            <m:t>+</m:t>
          </m:r>
          <m:sSub>
            <m:e>
              <m:r>
                <m:t>a</m:t>
              </m:r>
            </m:e>
            <m:sub>
              <m:r>
                <m:t>6</m:t>
              </m:r>
            </m:sub>
          </m:sSub>
        </m:oMath>
      </m:oMathPara>
    </w:p>
    <w:p>
      <w:pPr>
        <w:pStyle w:val="FirstParagraph"/>
      </w:pPr>
      <w:r>
        <w:t xml:space="preserve">where:</w:t>
      </w:r>
    </w:p>
    <w:p>
      <w:pPr>
        <w:pStyle w:val="Compact"/>
        <w:numPr>
          <w:ilvl w:val="0"/>
          <w:numId w:val="1047"/>
        </w:numPr>
      </w:pPr>
      <m:oMath>
        <m:sSub>
          <m:e>
            <m:r>
              <m:t>a</m:t>
            </m:r>
          </m:e>
          <m:sub>
            <m:r>
              <m:t>i</m:t>
            </m:r>
          </m:sub>
        </m:sSub>
      </m:oMath>
      <w:r>
        <w:t xml:space="preserve"> </w:t>
      </w:r>
      <w:r>
        <w:t xml:space="preserve">= polynomial coefficients</w:t>
      </w:r>
    </w:p>
    <w:p>
      <w:pPr>
        <w:pStyle w:val="Compact"/>
        <w:numPr>
          <w:ilvl w:val="0"/>
          <w:numId w:val="1047"/>
        </w:numPr>
      </w:pPr>
      <m:oMath>
        <m:r>
          <m:rPr>
            <m:nor/>
            <m:sty m:val="p"/>
          </m:rPr>
          <m:t>Lat</m:t>
        </m:r>
      </m:oMath>
      <w:r>
        <w:t xml:space="preserve"> </w:t>
      </w:r>
      <w:r>
        <w:t xml:space="preserve">= latitude</w:t>
      </w:r>
      <w:r>
        <w:br/>
      </w:r>
    </w:p>
    <w:p>
      <w:pPr>
        <w:pStyle w:val="Compact"/>
        <w:numPr>
          <w:ilvl w:val="0"/>
          <w:numId w:val="1047"/>
        </w:numPr>
      </w:pPr>
      <m:oMath>
        <m:r>
          <m:rPr>
            <m:nor/>
            <m:sty m:val="p"/>
          </m:rPr>
          <m:t>Lon</m:t>
        </m:r>
      </m:oMath>
      <w:r>
        <w:t xml:space="preserve"> </w:t>
      </w:r>
      <w:r>
        <w:t xml:space="preserve">= longitude</w:t>
      </w:r>
    </w:p>
    <w:p>
      <w:pPr>
        <w:pStyle w:val="FirstParagraph"/>
      </w:pPr>
      <w:r>
        <w:t xml:space="preserve">Lat and Lon are the related coordinates in the product map units (m, deg, arcsec).</w:t>
      </w:r>
    </w:p>
    <w:bookmarkEnd w:id="159"/>
    <w:bookmarkStart w:id="160" w:name="goal-requirements-29"/>
    <w:p>
      <w:pPr>
        <w:pStyle w:val="berschrift5"/>
      </w:pPr>
      <w:r>
        <w:t xml:space="preserve">Goal requirements:</w:t>
      </w:r>
    </w:p>
    <w:p>
      <w:pPr>
        <w:pStyle w:val="FirstParagraph"/>
      </w:pPr>
      <w:r>
        <w:t xml:space="preserve">As threshold.</w:t>
      </w:r>
      <w:r>
        <w:t xml:space="preserve"> </w:t>
      </w:r>
    </w:p>
    <w:bookmarkEnd w:id="160"/>
    <w:bookmarkStart w:id="161" w:name="assessment-29"/>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bookmarkEnd w:id="161"/>
    <w:bookmarkEnd w:id="162"/>
    <w:bookmarkEnd w:id="163"/>
    <w:bookmarkStart w:id="204"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7" w:name="sec:pxl-cngform"/>
    <w:p>
      <w:pPr>
        <w:pStyle w:val="berschrift4"/>
      </w:pPr>
      <w:r>
        <w:rPr>
          <w:rStyle w:val="VerbatimChar"/>
        </w:rPr>
        <w:t xml:space="preserve">4.1.</w:t>
      </w:r>
      <w:r>
        <w:t xml:space="preserve"> </w:t>
      </w:r>
      <w:r>
        <w:t xml:space="preserve">Cloud Optimized Formats</w:t>
      </w:r>
    </w:p>
    <w:p>
      <w:pPr>
        <w:pStyle w:val="FirstParagraph"/>
      </w:pPr>
      <w:r>
        <w:t xml:space="preserve">Identifier:</w:t>
      </w:r>
      <w:r>
        <w:t xml:space="preserve"> </w:t>
      </w:r>
      <w:r>
        <w:rPr>
          <w:rStyle w:val="VerbatimChar"/>
        </w:rPr>
        <w:t xml:space="preserve">pxl-cngform</w:t>
      </w:r>
    </w:p>
    <w:bookmarkStart w:id="164" w:name="threshold-requirements-30"/>
    <w:p>
      <w:pPr>
        <w:pStyle w:val="berschrift5"/>
      </w:pPr>
      <w:r>
        <w:t xml:space="preserve">Threshold requirements:</w:t>
      </w:r>
    </w:p>
    <w:p>
      <w:pPr>
        <w:pStyle w:val="FirstParagraph"/>
      </w:pPr>
      <w:r>
        <w:t xml:space="preserve">Not required.</w:t>
      </w:r>
      <w:r>
        <w:t xml:space="preserve"> </w:t>
      </w:r>
    </w:p>
    <w:bookmarkEnd w:id="164"/>
    <w:bookmarkStart w:id="165" w:name="goal-requirements-30"/>
    <w:p>
      <w:pPr>
        <w:pStyle w:val="berschrift5"/>
      </w:pPr>
      <w:r>
        <w:t xml:space="preserve">Goal requirements:</w:t>
      </w:r>
    </w:p>
    <w:p>
      <w:pPr>
        <w:pStyle w:val="FirstParagraph"/>
      </w:pPr>
      <w:r>
        <w:t xml:space="preserve">All files are provided using cloud-optimized file formats.</w:t>
      </w:r>
    </w:p>
    <w:bookmarkEnd w:id="165"/>
    <w:bookmarkStart w:id="166" w:name="assessment-30"/>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66"/>
    <w:bookmarkEnd w:id="167"/>
    <w:bookmarkStart w:id="171" w:name="sec:pxl-memare-sar"/>
    <w:p>
      <w:pPr>
        <w:pStyle w:val="berschrift4"/>
      </w:pPr>
      <w:r>
        <w:rPr>
          <w:rStyle w:val="VerbatimChar"/>
        </w:rPr>
        <w:t xml:space="preserve">4.2.</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8" w:name="threshold-requirements-3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component/variable/layer for further use.</w:t>
      </w:r>
    </w:p>
    <w:bookmarkEnd w:id="168"/>
    <w:bookmarkStart w:id="169" w:name="goal-requirements-31"/>
    <w:p>
      <w:pPr>
        <w:pStyle w:val="berschrift5"/>
      </w:pPr>
      <w:r>
        <w:t xml:space="preserve">Goal requirements:</w:t>
      </w:r>
    </w:p>
    <w:p>
      <w:pPr>
        <w:pStyle w:val="FirstParagraph"/>
      </w:pPr>
      <w:r>
        <w:t xml:space="preserve">As threshold, but metadata is formatted in accordance with CEOS-ARD SAR Metadata Specifications, v.1.1, or in a community endorsed standard that facilitates machine-readability, such as ISO 19115-2, Climate and Forecast (CF) convention, the Attribute Convention for Data Discovery (ACDD), etc.</w:t>
      </w:r>
    </w:p>
    <w:bookmarkEnd w:id="169"/>
    <w:bookmarkStart w:id="170" w:name="assessment-31"/>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70"/>
    <w:bookmarkEnd w:id="171"/>
    <w:bookmarkStart w:id="175" w:name="sec:pxl-damaski"/>
    <w:p>
      <w:pPr>
        <w:pStyle w:val="berschrift4"/>
      </w:pPr>
      <w:r>
        <w:rPr>
          <w:rStyle w:val="VerbatimChar"/>
        </w:rPr>
        <w:t xml:space="preserve">4.3.</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72" w:name="threshold-requirements-32"/>
    <w:p>
      <w:pPr>
        <w:pStyle w:val="berschrift5"/>
      </w:pPr>
      <w:r>
        <w:t xml:space="preserve">Threshold requirements:</w:t>
      </w:r>
    </w:p>
    <w:p>
      <w:pPr>
        <w:pStyle w:val="FirstParagraph"/>
      </w:pPr>
      <w:r>
        <w:t xml:space="preserve">Mask image indicating:</w:t>
      </w:r>
    </w:p>
    <w:p>
      <w:pPr>
        <w:pStyle w:val="Compact"/>
        <w:numPr>
          <w:ilvl w:val="0"/>
          <w:numId w:val="1051"/>
        </w:numPr>
      </w:pPr>
      <w:r>
        <w:t xml:space="preserve">Valid data</w:t>
      </w:r>
    </w:p>
    <w:p>
      <w:pPr>
        <w:pStyle w:val="Compact"/>
        <w:numPr>
          <w:ilvl w:val="0"/>
          <w:numId w:val="1051"/>
        </w:numPr>
      </w:pPr>
      <w:r>
        <w:t xml:space="preserve">Invalid data</w:t>
      </w:r>
    </w:p>
    <w:p>
      <w:pPr>
        <w:pStyle w:val="Compact"/>
        <w:numPr>
          <w:ilvl w:val="0"/>
          <w:numId w:val="1051"/>
        </w:numPr>
      </w:pPr>
      <w:r>
        <w:t xml:space="preserve">No data</w:t>
      </w:r>
    </w:p>
    <w:p>
      <w:pPr>
        <w:pStyle w:val="FirstParagraph"/>
      </w:pPr>
      <w:r>
        <w:t xml:space="preserve">File format specifications/contents provided in metadata:</w:t>
      </w:r>
    </w:p>
    <w:p>
      <w:pPr>
        <w:pStyle w:val="Compact"/>
        <w:numPr>
          <w:ilvl w:val="0"/>
          <w:numId w:val="1052"/>
        </w:numPr>
      </w:pPr>
      <w:r>
        <w:t xml:space="preserve">Sample Type (Mask)</w:t>
      </w:r>
    </w:p>
    <w:p>
      <w:pPr>
        <w:pStyle w:val="Compact"/>
        <w:numPr>
          <w:ilvl w:val="0"/>
          <w:numId w:val="1052"/>
        </w:numPr>
      </w:pPr>
      <w:r>
        <w:t xml:space="preserve">Data Format (GeoTIFF, HDF5, NetCDF, …)</w:t>
      </w:r>
    </w:p>
    <w:p>
      <w:pPr>
        <w:pStyle w:val="Compact"/>
        <w:numPr>
          <w:ilvl w:val="0"/>
          <w:numId w:val="1052"/>
        </w:numPr>
      </w:pPr>
      <w:r>
        <w:t xml:space="preserve">Data Type (Int, …)</w:t>
      </w:r>
    </w:p>
    <w:p>
      <w:pPr>
        <w:pStyle w:val="Compact"/>
        <w:numPr>
          <w:ilvl w:val="0"/>
          <w:numId w:val="1052"/>
        </w:numPr>
      </w:pPr>
      <w:r>
        <w:t xml:space="preserve">Bits per Sample</w:t>
      </w:r>
    </w:p>
    <w:p>
      <w:pPr>
        <w:pStyle w:val="Compact"/>
        <w:numPr>
          <w:ilvl w:val="0"/>
          <w:numId w:val="1052"/>
        </w:numPr>
      </w:pPr>
      <w:r>
        <w:t xml:space="preserve">Byte Order</w:t>
      </w:r>
    </w:p>
    <w:p>
      <w:pPr>
        <w:pStyle w:val="Compact"/>
        <w:numPr>
          <w:ilvl w:val="0"/>
          <w:numId w:val="1052"/>
        </w:numPr>
      </w:pPr>
      <w:r>
        <w:t xml:space="preserve">Bit Value Representation</w:t>
      </w:r>
    </w:p>
    <w:bookmarkEnd w:id="172"/>
    <w:bookmarkStart w:id="173" w:name="goal-requirements-32"/>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3"/>
        </w:numPr>
      </w:pPr>
      <w:r>
        <w:t xml:space="preserve">Layover (masked as invalid data in threshold)</w:t>
      </w:r>
    </w:p>
    <w:p>
      <w:pPr>
        <w:pStyle w:val="Compact"/>
        <w:numPr>
          <w:ilvl w:val="0"/>
          <w:numId w:val="1053"/>
        </w:numPr>
      </w:pPr>
      <w:r>
        <w:t xml:space="preserve">Radar shadow (masked as invalid data in threshold)</w:t>
      </w:r>
    </w:p>
    <w:p>
      <w:pPr>
        <w:pStyle w:val="Compact"/>
        <w:numPr>
          <w:ilvl w:val="0"/>
          <w:numId w:val="1053"/>
        </w:numPr>
      </w:pPr>
      <w:r>
        <w:t xml:space="preserve">Ocean water</w:t>
      </w:r>
    </w:p>
    <w:p>
      <w:pPr>
        <w:pStyle w:val="Compact"/>
        <w:numPr>
          <w:ilvl w:val="0"/>
          <w:numId w:val="1053"/>
        </w:numPr>
      </w:pPr>
      <w:r>
        <w:t xml:space="preserve">Land (recommended for ORB)</w:t>
      </w:r>
    </w:p>
    <w:p>
      <w:pPr>
        <w:pStyle w:val="Compact"/>
        <w:numPr>
          <w:ilvl w:val="0"/>
          <w:numId w:val="1053"/>
        </w:numPr>
      </w:pPr>
      <w:r>
        <w:t xml:space="preserve">RTC applied (e.g., for maritime scenes with land samples for which RTC has been applied)</w:t>
      </w:r>
    </w:p>
    <w:p>
      <w:pPr>
        <w:pStyle w:val="Compact"/>
        <w:numPr>
          <w:ilvl w:val="0"/>
          <w:numId w:val="1053"/>
        </w:numPr>
      </w:pPr>
      <w:r>
        <w:t xml:space="preserve">DEM gap filling (i.e., interpolated DEM over gaps)</w:t>
      </w:r>
    </w:p>
    <w:bookmarkEnd w:id="173"/>
    <w:bookmarkStart w:id="174" w:name="assessment-32"/>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4"/>
    <w:bookmarkEnd w:id="175"/>
    <w:bookmarkStart w:id="179" w:name="sec:pxl-piscata"/>
    <w:p>
      <w:pPr>
        <w:pStyle w:val="berschrift4"/>
      </w:pPr>
      <w:r>
        <w:rPr>
          <w:rStyle w:val="VerbatimChar"/>
        </w:rPr>
        <w:t xml:space="preserve">4.4.</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 Recommended for scenes that include land areas.</w:t>
      </w:r>
    </w:p>
    <w:bookmarkStart w:id="176" w:name="threshold-requirements-33"/>
    <w:p>
      <w:pPr>
        <w:pStyle w:val="berschrift5"/>
      </w:pPr>
      <w:r>
        <w:t xml:space="preserve">Threshold requirements:</w:t>
      </w:r>
    </w:p>
    <w:p>
      <w:pPr>
        <w:pStyle w:val="FirstParagraph"/>
      </w:pPr>
      <w:r>
        <w:t xml:space="preserve">Not required.</w:t>
      </w:r>
      <w:r>
        <w:t xml:space="preserve"> </w:t>
      </w:r>
    </w:p>
    <w:bookmarkEnd w:id="176"/>
    <w:bookmarkStart w:id="177" w:name="goal-requirements-33"/>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5"/>
        </w:numPr>
      </w:pPr>
      <w:r>
        <w:t xml:space="preserve">Sample Type (Scattering Area)</w:t>
      </w:r>
    </w:p>
    <w:p>
      <w:pPr>
        <w:pStyle w:val="Compact"/>
        <w:numPr>
          <w:ilvl w:val="0"/>
          <w:numId w:val="1055"/>
        </w:numPr>
      </w:pPr>
      <w:r>
        <w:t xml:space="preserve">Data Format (GeoTIFF, HDF5, NetCDF, …)</w:t>
      </w:r>
    </w:p>
    <w:p>
      <w:pPr>
        <w:pStyle w:val="Compact"/>
        <w:numPr>
          <w:ilvl w:val="0"/>
          <w:numId w:val="1055"/>
        </w:numPr>
      </w:pPr>
      <w:r>
        <w:t xml:space="preserve">Data Type (Int, Float, …)</w:t>
      </w:r>
    </w:p>
    <w:p>
      <w:pPr>
        <w:pStyle w:val="Compact"/>
        <w:numPr>
          <w:ilvl w:val="0"/>
          <w:numId w:val="1055"/>
        </w:numPr>
      </w:pPr>
      <w:r>
        <w:t xml:space="preserve">Bits per Sample</w:t>
      </w:r>
    </w:p>
    <w:p>
      <w:pPr>
        <w:pStyle w:val="Compact"/>
        <w:numPr>
          <w:ilvl w:val="0"/>
          <w:numId w:val="1055"/>
        </w:numPr>
      </w:pPr>
      <w:r>
        <w:t xml:space="preserve">Byte Order</w:t>
      </w:r>
    </w:p>
    <w:bookmarkEnd w:id="177"/>
    <w:bookmarkStart w:id="178" w:name="assessment-33"/>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78"/>
    <w:bookmarkEnd w:id="179"/>
    <w:bookmarkStart w:id="183" w:name="sec:pxl-ploinca"/>
    <w:p>
      <w:pPr>
        <w:pStyle w:val="berschrift4"/>
      </w:pPr>
      <w:r>
        <w:rPr>
          <w:rStyle w:val="VerbatimChar"/>
        </w:rPr>
        <w:t xml:space="preserve">4.5.</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80" w:name="threshold-requirements-34"/>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57"/>
        </w:numPr>
      </w:pPr>
      <w:r>
        <w:t xml:space="preserve">Sample Type (Angle)</w:t>
      </w:r>
    </w:p>
    <w:p>
      <w:pPr>
        <w:pStyle w:val="Compact"/>
        <w:numPr>
          <w:ilvl w:val="0"/>
          <w:numId w:val="1057"/>
        </w:numPr>
      </w:pPr>
      <w:r>
        <w:t xml:space="preserve">Data Format (GeoTIFF, HDF5, NetCDF, …)</w:t>
      </w:r>
    </w:p>
    <w:p>
      <w:pPr>
        <w:pStyle w:val="Compact"/>
        <w:numPr>
          <w:ilvl w:val="0"/>
          <w:numId w:val="1057"/>
        </w:numPr>
      </w:pPr>
      <w:r>
        <w:t xml:space="preserve">Data Type (Int, Float, …)</w:t>
      </w:r>
    </w:p>
    <w:p>
      <w:pPr>
        <w:pStyle w:val="Compact"/>
        <w:numPr>
          <w:ilvl w:val="0"/>
          <w:numId w:val="1057"/>
        </w:numPr>
      </w:pPr>
      <w:r>
        <w:t xml:space="preserve">Bits per Sample</w:t>
      </w:r>
    </w:p>
    <w:p>
      <w:pPr>
        <w:pStyle w:val="Compact"/>
        <w:numPr>
          <w:ilvl w:val="0"/>
          <w:numId w:val="1057"/>
        </w:numPr>
      </w:pPr>
      <w:r>
        <w:t xml:space="preserve">Byte Order</w:t>
      </w:r>
    </w:p>
    <w:p>
      <w:pPr>
        <w:pStyle w:val="FirstParagraph"/>
      </w:pPr>
      <w:r>
        <w:t xml:space="preserve">Note:</w:t>
      </w:r>
    </w:p>
    <w:p>
      <w:pPr>
        <w:pStyle w:val="Compact"/>
        <w:numPr>
          <w:ilvl w:val="0"/>
          <w:numId w:val="1058"/>
        </w:numPr>
      </w:pPr>
      <w:r>
        <w:t xml:space="preserve">For maritime ORB scenes when no land areas are covered, a geoid model could be used for the calculation of the local incident angle.</w:t>
      </w:r>
    </w:p>
    <w:bookmarkEnd w:id="180"/>
    <w:bookmarkStart w:id="181" w:name="goal-requirements-34"/>
    <w:p>
      <w:pPr>
        <w:pStyle w:val="berschrift5"/>
      </w:pPr>
      <w:r>
        <w:t xml:space="preserve">Goal requirements:</w:t>
      </w:r>
    </w:p>
    <w:p>
      <w:pPr>
        <w:pStyle w:val="FirstParagraph"/>
      </w:pPr>
      <w:r>
        <w:t xml:space="preserve">As threshold.</w:t>
      </w:r>
      <w:r>
        <w:t xml:space="preserve"> </w:t>
      </w:r>
    </w:p>
    <w:bookmarkEnd w:id="181"/>
    <w:bookmarkStart w:id="182" w:name="assessment-34"/>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82"/>
    <w:bookmarkEnd w:id="183"/>
    <w:bookmarkStart w:id="187" w:name="sec:pxl-pelinca"/>
    <w:p>
      <w:pPr>
        <w:pStyle w:val="berschrift4"/>
      </w:pPr>
      <w:r>
        <w:rPr>
          <w:rStyle w:val="VerbatimChar"/>
        </w:rPr>
        <w:t xml:space="preserve">4.6.</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84" w:name="threshold-requirements-35"/>
    <w:p>
      <w:pPr>
        <w:pStyle w:val="berschrift5"/>
      </w:pPr>
      <w:r>
        <w:t xml:space="preserve">Threshold requirements:</w:t>
      </w:r>
    </w:p>
    <w:p>
      <w:pPr>
        <w:pStyle w:val="FirstParagraph"/>
      </w:pPr>
      <w:r>
        <w:t xml:space="preserve">Not required.</w:t>
      </w:r>
      <w:r>
        <w:t xml:space="preserve"> </w:t>
      </w:r>
    </w:p>
    <w:bookmarkEnd w:id="184"/>
    <w:bookmarkStart w:id="185" w:name="goal-requirements-35"/>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0"/>
        </w:numPr>
      </w:pPr>
      <w:r>
        <w:t xml:space="preserve">Sample Type (Angle)</w:t>
      </w:r>
    </w:p>
    <w:p>
      <w:pPr>
        <w:pStyle w:val="Compact"/>
        <w:numPr>
          <w:ilvl w:val="0"/>
          <w:numId w:val="1060"/>
        </w:numPr>
      </w:pPr>
      <w:r>
        <w:t xml:space="preserve">Data Format (GeoTIFF, HDF5, NetCDF, …)</w:t>
      </w:r>
    </w:p>
    <w:p>
      <w:pPr>
        <w:pStyle w:val="Compact"/>
        <w:numPr>
          <w:ilvl w:val="0"/>
          <w:numId w:val="1060"/>
        </w:numPr>
      </w:pPr>
      <w:r>
        <w:t xml:space="preserve">Data Type (Int, Float, …)</w:t>
      </w:r>
    </w:p>
    <w:p>
      <w:pPr>
        <w:pStyle w:val="Compact"/>
        <w:numPr>
          <w:ilvl w:val="0"/>
          <w:numId w:val="1060"/>
        </w:numPr>
      </w:pPr>
      <w:r>
        <w:t xml:space="preserve">Bits per Sample</w:t>
      </w:r>
    </w:p>
    <w:p>
      <w:pPr>
        <w:pStyle w:val="Compact"/>
        <w:numPr>
          <w:ilvl w:val="0"/>
          <w:numId w:val="1060"/>
        </w:numPr>
      </w:pPr>
      <w:r>
        <w:t xml:space="preserve">Byte Order</w:t>
      </w:r>
    </w:p>
    <w:p>
      <w:pPr>
        <w:pStyle w:val="Compact"/>
        <w:numPr>
          <w:ilvl w:val="0"/>
          <w:numId w:val="1060"/>
        </w:numPr>
      </w:pPr>
      <w:r>
        <w:t xml:space="preserve">Reference Ellipsoid Name</w:t>
      </w:r>
    </w:p>
    <w:p>
      <w:pPr>
        <w:pStyle w:val="FirstParagraph"/>
      </w:pPr>
      <w:r>
        <w:t xml:space="preserve">Note:</w:t>
      </w:r>
    </w:p>
    <w:p>
      <w:pPr>
        <w:pStyle w:val="Compact"/>
        <w:numPr>
          <w:ilvl w:val="0"/>
          <w:numId w:val="1061"/>
        </w:numPr>
      </w:pPr>
      <w:r>
        <w:t xml:space="preserve">For maritime ORB scenes when no land areas are covered, the ellipsoidal incident angle is nearly identical to the geoid based local incident angle.</w:t>
      </w:r>
    </w:p>
    <w:bookmarkEnd w:id="185"/>
    <w:bookmarkStart w:id="186" w:name="assessment-35"/>
    <w:p>
      <w:pPr>
        <w:pStyle w:val="berschrift5"/>
      </w:pPr>
      <w:r>
        <w:t xml:space="preserve">Assessment:</w:t>
      </w:r>
    </w:p>
    <w:p>
      <w:pPr>
        <w:pStyle w:val="Compact"/>
        <w:numPr>
          <w:ilvl w:val="0"/>
          <w:numId w:val="1062"/>
        </w:numPr>
      </w:pPr>
      <w:r>
        <w:t xml:space="preserve">Threshold Self-Assessment:</w:t>
      </w:r>
    </w:p>
    <w:p>
      <w:pPr>
        <w:pStyle w:val="Compact"/>
        <w:numPr>
          <w:ilvl w:val="0"/>
          <w:numId w:val="1062"/>
        </w:numPr>
      </w:pPr>
      <w:r>
        <w:t xml:space="preserve">Goal Self-Assessment:</w:t>
      </w:r>
    </w:p>
    <w:p>
      <w:pPr>
        <w:pStyle w:val="Compact"/>
        <w:numPr>
          <w:ilvl w:val="0"/>
          <w:numId w:val="1062"/>
        </w:numPr>
      </w:pPr>
      <w:r>
        <w:t xml:space="preserve">Self-Assessment Explanation/ Justification:</w:t>
      </w:r>
    </w:p>
    <w:p>
      <w:pPr>
        <w:pStyle w:val="Compact"/>
        <w:numPr>
          <w:ilvl w:val="0"/>
          <w:numId w:val="1062"/>
        </w:numPr>
      </w:pPr>
      <w:r>
        <w:t xml:space="preserve">Recommended Requirement Modification:</w:t>
      </w:r>
    </w:p>
    <w:p>
      <w:r>
        <w:pict>
          <v:rect style="width:0;height:1.5pt" o:hralign="center" o:hrstd="t" o:hr="t"/>
        </w:pict>
      </w:r>
    </w:p>
    <w:bookmarkEnd w:id="186"/>
    <w:bookmarkEnd w:id="187"/>
    <w:bookmarkStart w:id="191" w:name="sec:pxl-pinopow"/>
    <w:p>
      <w:pPr>
        <w:pStyle w:val="berschrift4"/>
      </w:pPr>
      <w:r>
        <w:rPr>
          <w:rStyle w:val="VerbatimChar"/>
        </w:rPr>
        <w:t xml:space="preserve">4.7.</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8" w:name="threshold-requirements-36"/>
    <w:p>
      <w:pPr>
        <w:pStyle w:val="berschrift5"/>
      </w:pPr>
      <w:r>
        <w:t xml:space="preserve">Threshold requirements:</w:t>
      </w:r>
    </w:p>
    <w:p>
      <w:pPr>
        <w:pStyle w:val="FirstParagraph"/>
      </w:pPr>
      <w:r>
        <w:t xml:space="preserve">Not required.</w:t>
      </w:r>
      <w:r>
        <w:t xml:space="preserve"> </w:t>
      </w:r>
    </w:p>
    <w:bookmarkEnd w:id="188"/>
    <w:bookmarkStart w:id="189" w:name="goal-requirements-36"/>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a simplified ellipsoid Earth model.</w:t>
      </w:r>
    </w:p>
    <w:p>
      <w:pPr>
        <w:pStyle w:val="Textkrper"/>
      </w:pPr>
      <w:r>
        <w:t xml:space="preserve">File format specifications/contents provided in metadata:</w:t>
      </w:r>
    </w:p>
    <w:p>
      <w:pPr>
        <w:pStyle w:val="Compact"/>
        <w:numPr>
          <w:ilvl w:val="0"/>
          <w:numId w:val="1063"/>
        </w:numPr>
      </w:pPr>
      <w:r>
        <w:t xml:space="preserve">Sample Type (Gamma-Nought, Sigma-Nought, Beta-Nought)</w:t>
      </w:r>
    </w:p>
    <w:p>
      <w:pPr>
        <w:pStyle w:val="Compact"/>
        <w:numPr>
          <w:ilvl w:val="0"/>
          <w:numId w:val="1063"/>
        </w:numPr>
      </w:pPr>
      <w:r>
        <w:t xml:space="preserve">Data Format (GeoTIFF, HDF5, NetCDF, …)</w:t>
      </w:r>
    </w:p>
    <w:p>
      <w:pPr>
        <w:pStyle w:val="Compact"/>
        <w:numPr>
          <w:ilvl w:val="0"/>
          <w:numId w:val="1063"/>
        </w:numPr>
      </w:pPr>
      <w:r>
        <w:t xml:space="preserve">Data Type (Int, Float, …)</w:t>
      </w:r>
    </w:p>
    <w:p>
      <w:pPr>
        <w:pStyle w:val="Compact"/>
        <w:numPr>
          <w:ilvl w:val="0"/>
          <w:numId w:val="1063"/>
        </w:numPr>
      </w:pPr>
      <w:r>
        <w:t xml:space="preserve">Bits per Sample</w:t>
      </w:r>
    </w:p>
    <w:p>
      <w:pPr>
        <w:pStyle w:val="Compact"/>
        <w:numPr>
          <w:ilvl w:val="0"/>
          <w:numId w:val="1063"/>
        </w:numPr>
      </w:pPr>
      <w:r>
        <w:t xml:space="preserve">Byte Order</w:t>
      </w:r>
    </w:p>
    <w:bookmarkEnd w:id="189"/>
    <w:bookmarkStart w:id="190" w:name="assessment-36"/>
    <w:p>
      <w:pPr>
        <w:pStyle w:val="berschrift5"/>
      </w:pPr>
      <w:r>
        <w:t xml:space="preserve">Assessment:</w:t>
      </w:r>
    </w:p>
    <w:p>
      <w:pPr>
        <w:pStyle w:val="Compact"/>
        <w:numPr>
          <w:ilvl w:val="0"/>
          <w:numId w:val="1064"/>
        </w:numPr>
      </w:pPr>
      <w:r>
        <w:t xml:space="preserve">Threshold Self-Assessment:</w:t>
      </w:r>
    </w:p>
    <w:p>
      <w:pPr>
        <w:pStyle w:val="Compact"/>
        <w:numPr>
          <w:ilvl w:val="0"/>
          <w:numId w:val="1064"/>
        </w:numPr>
      </w:pPr>
      <w:r>
        <w:t xml:space="preserve">Goal Self-Assessment:</w:t>
      </w:r>
    </w:p>
    <w:p>
      <w:pPr>
        <w:pStyle w:val="Compact"/>
        <w:numPr>
          <w:ilvl w:val="0"/>
          <w:numId w:val="1064"/>
        </w:numPr>
      </w:pPr>
      <w:r>
        <w:t xml:space="preserve">Self-Assessment Explanation/ Justification:</w:t>
      </w:r>
    </w:p>
    <w:p>
      <w:pPr>
        <w:pStyle w:val="Compact"/>
        <w:numPr>
          <w:ilvl w:val="0"/>
          <w:numId w:val="1064"/>
        </w:numPr>
      </w:pPr>
      <w:r>
        <w:t xml:space="preserve">Recommended Requirement Modification:</w:t>
      </w:r>
    </w:p>
    <w:p>
      <w:r>
        <w:pict>
          <v:rect style="width:0;height:1.5pt" o:hralign="center" o:hrstd="t" o:hr="t"/>
        </w:pict>
      </w:r>
    </w:p>
    <w:bookmarkEnd w:id="190"/>
    <w:bookmarkEnd w:id="191"/>
    <w:bookmarkStart w:id="195" w:name="sec:pxl-pacqid"/>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w:t>
      </w:r>
    </w:p>
    <w:bookmarkStart w:id="192" w:name="threshold-requirements-37"/>
    <w:p>
      <w:pPr>
        <w:pStyle w:val="berschrift5"/>
      </w:pPr>
      <w:r>
        <w:t xml:space="preserve">Threshold requirements:</w:t>
      </w:r>
    </w:p>
    <w:p>
      <w:pPr>
        <w:pStyle w:val="FirstParagraph"/>
      </w:pPr>
      <w:r>
        <w:rPr>
          <w:b/>
          <w:bCs/>
        </w:rPr>
        <w:t xml:space="preserve">Required for multi-source product only.</w:t>
      </w:r>
    </w:p>
    <w:p>
      <w:pPr>
        <w:pStyle w:val="Textkrper"/>
      </w:pPr>
      <w:r>
        <w:t xml:space="preserve">Acquisition ID, or acquisition date, for each pixel is identified.</w:t>
      </w:r>
    </w:p>
    <w:p>
      <w:pPr>
        <w:pStyle w:val="Textkrper"/>
      </w:pPr>
      <w:r>
        <w:t xml:space="preserve">In case of multi-temporal image stacks, use a source acquisition ID (i.e., Section </w:t>
      </w:r>
      <w:r>
        <w:t xml:space="preserve">“</w:t>
      </w:r>
      <w:hyperlink w:anchor="sec:src-macqid">
        <w:r>
          <w:rPr>
            <w:rStyle w:val="Hyperlink"/>
          </w:rPr>
          <w:t xml:space="preserve">Source Metadata: Acquisition ID</w:t>
        </w:r>
      </w:hyperlink>
      <w:r>
        <w:t xml:space="preserve">”</w:t>
      </w:r>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(e.g., pixels averaged in image overlap zones) are flagged with a pre-set pixel value that is provided in the metadata.</w:t>
      </w:r>
    </w:p>
    <w:p>
      <w:pPr>
        <w:pStyle w:val="Textkrper"/>
      </w:pPr>
      <w:r>
        <w:t xml:space="preserve">File format specifications/contents provided in metadata:</w:t>
      </w:r>
    </w:p>
    <w:p>
      <w:pPr>
        <w:pStyle w:val="Compact"/>
        <w:numPr>
          <w:ilvl w:val="0"/>
          <w:numId w:val="1065"/>
        </w:numPr>
      </w:pPr>
      <w:r>
        <w:t xml:space="preserve">Sample type (Day, Time, ID)</w:t>
      </w:r>
    </w:p>
    <w:p>
      <w:pPr>
        <w:pStyle w:val="Compact"/>
        <w:numPr>
          <w:ilvl w:val="0"/>
          <w:numId w:val="1065"/>
        </w:numPr>
      </w:pPr>
      <w:r>
        <w:t xml:space="preserve">Data Format (GeoTIFF, HDF5, NetCDF, …)</w:t>
      </w:r>
    </w:p>
    <w:p>
      <w:pPr>
        <w:pStyle w:val="Compact"/>
        <w:numPr>
          <w:ilvl w:val="0"/>
          <w:numId w:val="1065"/>
        </w:numPr>
      </w:pPr>
      <w:r>
        <w:t xml:space="preserve">Data Type (Int, Float, …)</w:t>
      </w:r>
    </w:p>
    <w:p>
      <w:pPr>
        <w:pStyle w:val="Compact"/>
        <w:numPr>
          <w:ilvl w:val="0"/>
          <w:numId w:val="1065"/>
        </w:numPr>
      </w:pPr>
      <w:r>
        <w:t xml:space="preserve">Bits per sample</w:t>
      </w:r>
    </w:p>
    <w:p>
      <w:pPr>
        <w:pStyle w:val="Compact"/>
        <w:numPr>
          <w:ilvl w:val="0"/>
          <w:numId w:val="1065"/>
        </w:numPr>
      </w:pPr>
      <w:r>
        <w:t xml:space="preserve">Byte Order</w:t>
      </w:r>
    </w:p>
    <w:bookmarkEnd w:id="192"/>
    <w:bookmarkStart w:id="193" w:name="goal-requirements-37"/>
    <w:p>
      <w:pPr>
        <w:pStyle w:val="berschrift5"/>
      </w:pPr>
      <w:r>
        <w:t xml:space="preserve">Goal requirements:</w:t>
      </w:r>
    </w:p>
    <w:p>
      <w:pPr>
        <w:pStyle w:val="FirstParagraph"/>
      </w:pPr>
      <w:r>
        <w:t xml:space="preserve">In case of image composites, the sources for each pixel are uniquely identified.</w:t>
      </w:r>
    </w:p>
    <w:bookmarkEnd w:id="193"/>
    <w:bookmarkStart w:id="194" w:name="assessment-37"/>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94"/>
    <w:bookmarkEnd w:id="195"/>
    <w:bookmarkStart w:id="199" w:name="sec:pxl-pigeoid"/>
    <w:p>
      <w:pPr>
        <w:pStyle w:val="berschrift4"/>
      </w:pPr>
      <w:r>
        <w:rPr>
          <w:rStyle w:val="VerbatimChar"/>
        </w:rPr>
        <w:t xml:space="preserve">4.9.</w:t>
      </w:r>
      <w:r>
        <w:t xml:space="preserve"> </w:t>
      </w:r>
      <w:r>
        <w:t xml:space="preserve">Per-Pixel Geoid</w:t>
      </w:r>
    </w:p>
    <w:p>
      <w:pPr>
        <w:pStyle w:val="FirstParagraph"/>
      </w:pPr>
      <w:r>
        <w:t xml:space="preserve">Identifier:</w:t>
      </w:r>
      <w:r>
        <w:t xml:space="preserve"> </w:t>
      </w:r>
      <w:r>
        <w:rPr>
          <w:rStyle w:val="VerbatimChar"/>
        </w:rPr>
        <w:t xml:space="preserve">pxl-pigeoid</w:t>
      </w:r>
    </w:p>
    <w:bookmarkStart w:id="196" w:name="threshold-requirements-38"/>
    <w:p>
      <w:pPr>
        <w:pStyle w:val="berschrift5"/>
      </w:pPr>
      <w:r>
        <w:t xml:space="preserve">Threshold requirements:</w:t>
      </w:r>
    </w:p>
    <w:p>
      <w:pPr>
        <w:pStyle w:val="FirstParagraph"/>
      </w:pPr>
      <w:r>
        <w:t xml:space="preserve">Not required.</w:t>
      </w:r>
      <w:r>
        <w:t xml:space="preserve"> </w:t>
      </w:r>
    </w:p>
    <w:bookmarkEnd w:id="196"/>
    <w:bookmarkStart w:id="197" w:name="goal-requirements-38"/>
    <w:p>
      <w:pPr>
        <w:pStyle w:val="berschrift5"/>
      </w:pPr>
      <w:r>
        <w:t xml:space="preserve">Goal requirements:</w:t>
      </w:r>
    </w:p>
    <w:p>
      <w:pPr>
        <w:pStyle w:val="FirstParagraph"/>
      </w:pPr>
      <w:r>
        <w:t xml:space="preserve">Provide Geoid as used during the geometric and radiometric processing of the SAR data, resampled to an exact geometric match in extent and resolution with the image product.</w:t>
      </w:r>
    </w:p>
    <w:p>
      <w:pPr>
        <w:pStyle w:val="Textkrper"/>
      </w:pPr>
      <w:r>
        <w:t xml:space="preserve">File format specifications/contents provided in metadata:</w:t>
      </w:r>
    </w:p>
    <w:p>
      <w:pPr>
        <w:pStyle w:val="Compact"/>
        <w:numPr>
          <w:ilvl w:val="0"/>
          <w:numId w:val="1067"/>
        </w:numPr>
      </w:pPr>
      <w:r>
        <w:t xml:space="preserve">Sample Type (Height)</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p>
      <w:pPr>
        <w:pStyle w:val="Compact"/>
        <w:numPr>
          <w:ilvl w:val="0"/>
          <w:numId w:val="1067"/>
        </w:numPr>
      </w:pPr>
      <w:r>
        <w:t xml:space="preserve">Ground Sampling Distance</w:t>
      </w:r>
    </w:p>
    <w:bookmarkEnd w:id="197"/>
    <w:bookmarkStart w:id="198" w:name="assessment-38"/>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198"/>
    <w:bookmarkEnd w:id="199"/>
    <w:bookmarkStart w:id="203" w:name="sec:pxl-lookdiri"/>
    <w:p>
      <w:pPr>
        <w:pStyle w:val="berschrift4"/>
      </w:pPr>
      <w:r>
        <w:rPr>
          <w:rStyle w:val="VerbatimChar"/>
        </w:rPr>
        <w:t xml:space="preserve">4.10.</w:t>
      </w:r>
      <w:r>
        <w:t xml:space="preserve"> </w:t>
      </w:r>
      <w:r>
        <w:t xml:space="preserve">Look Direction Image</w:t>
      </w:r>
    </w:p>
    <w:p>
      <w:pPr>
        <w:pStyle w:val="FirstParagraph"/>
      </w:pPr>
      <w:r>
        <w:t xml:space="preserve">Identifier:</w:t>
      </w:r>
      <w:r>
        <w:t xml:space="preserve"> </w:t>
      </w:r>
      <w:r>
        <w:rPr>
          <w:rStyle w:val="VerbatimChar"/>
        </w:rPr>
        <w:t xml:space="preserve">pxl-lookdiri</w:t>
      </w:r>
    </w:p>
    <w:bookmarkStart w:id="200" w:name="threshold-requirements-39"/>
    <w:p>
      <w:pPr>
        <w:pStyle w:val="berschrift5"/>
      </w:pPr>
      <w:r>
        <w:t xml:space="preserve">Threshold requirements:</w:t>
      </w:r>
    </w:p>
    <w:p>
      <w:pPr>
        <w:pStyle w:val="FirstParagraph"/>
      </w:pPr>
      <w:r>
        <w:t xml:space="preserve">Not required.</w:t>
      </w:r>
      <w:r>
        <w:t xml:space="preserve"> </w:t>
      </w:r>
    </w:p>
    <w:bookmarkEnd w:id="200"/>
    <w:bookmarkStart w:id="201" w:name="goal-requirements-39"/>
    <w:p>
      <w:pPr>
        <w:pStyle w:val="berschrift5"/>
      </w:pPr>
      <w:r>
        <w:t xml:space="preserve">Goal requirements:</w:t>
      </w:r>
    </w:p>
    <w:p>
      <w:pPr>
        <w:pStyle w:val="FirstParagraph"/>
      </w:pPr>
      <w:r>
        <w:t xml:space="preserve">Look Direction Image is provided.</w:t>
      </w:r>
      <w:r>
        <w:t xml:space="preserve"> </w:t>
      </w:r>
      <w:r>
        <w:t xml:space="preserve">It represents the planar angle between north and each range direction.</w:t>
      </w:r>
    </w:p>
    <w:p>
      <w:pPr>
        <w:pStyle w:val="Textkrper"/>
      </w:pPr>
      <w:r>
        <w:t xml:space="preserve">File format specifications/contents provided in metadata:</w:t>
      </w:r>
    </w:p>
    <w:p>
      <w:pPr>
        <w:pStyle w:val="Compact"/>
        <w:numPr>
          <w:ilvl w:val="0"/>
          <w:numId w:val="1069"/>
        </w:numPr>
      </w:pPr>
      <w:r>
        <w:t xml:space="preserve">Sample Type (Angle)</w:t>
      </w:r>
    </w:p>
    <w:p>
      <w:pPr>
        <w:pStyle w:val="Compact"/>
        <w:numPr>
          <w:ilvl w:val="0"/>
          <w:numId w:val="1069"/>
        </w:numPr>
      </w:pPr>
      <w:r>
        <w:t xml:space="preserve">Data Format (GeoTIFF, HDF5, NetCDF, …)</w:t>
      </w:r>
    </w:p>
    <w:p>
      <w:pPr>
        <w:pStyle w:val="Compact"/>
        <w:numPr>
          <w:ilvl w:val="0"/>
          <w:numId w:val="1069"/>
        </w:numPr>
      </w:pPr>
      <w:r>
        <w:t xml:space="preserve">Data Type (Int, Float, …)</w:t>
      </w:r>
    </w:p>
    <w:p>
      <w:pPr>
        <w:pStyle w:val="Compact"/>
        <w:numPr>
          <w:ilvl w:val="0"/>
          <w:numId w:val="1069"/>
        </w:numPr>
      </w:pPr>
      <w:r>
        <w:t xml:space="preserve">Bits per Sample</w:t>
      </w:r>
    </w:p>
    <w:p>
      <w:pPr>
        <w:pStyle w:val="Compact"/>
        <w:numPr>
          <w:ilvl w:val="0"/>
          <w:numId w:val="1069"/>
        </w:numPr>
      </w:pPr>
      <w:r>
        <w:t xml:space="preserve">Byte Order</w:t>
      </w:r>
    </w:p>
    <w:bookmarkEnd w:id="201"/>
    <w:bookmarkStart w:id="202" w:name="assessment-39"/>
    <w:p>
      <w:pPr>
        <w:pStyle w:val="berschrift5"/>
      </w:pPr>
      <w:r>
        <w:t xml:space="preserve">Assessment:</w:t>
      </w:r>
    </w:p>
    <w:p>
      <w:pPr>
        <w:pStyle w:val="Compact"/>
        <w:numPr>
          <w:ilvl w:val="0"/>
          <w:numId w:val="1070"/>
        </w:numPr>
      </w:pPr>
      <w:r>
        <w:t xml:space="preserve">Threshold Self-Assessment:</w:t>
      </w:r>
    </w:p>
    <w:p>
      <w:pPr>
        <w:pStyle w:val="Compact"/>
        <w:numPr>
          <w:ilvl w:val="0"/>
          <w:numId w:val="1070"/>
        </w:numPr>
      </w:pPr>
      <w:r>
        <w:t xml:space="preserve">Goal Self-Assessment:</w:t>
      </w:r>
    </w:p>
    <w:p>
      <w:pPr>
        <w:pStyle w:val="Compact"/>
        <w:numPr>
          <w:ilvl w:val="0"/>
          <w:numId w:val="1070"/>
        </w:numPr>
      </w:pPr>
      <w:r>
        <w:t xml:space="preserve">Self-Assessment Explanation/ Justification:</w:t>
      </w:r>
    </w:p>
    <w:p>
      <w:pPr>
        <w:pStyle w:val="Compact"/>
        <w:numPr>
          <w:ilvl w:val="0"/>
          <w:numId w:val="1070"/>
        </w:numPr>
      </w:pPr>
      <w:r>
        <w:t xml:space="preserve">Recommended Requirement Modification:</w:t>
      </w:r>
    </w:p>
    <w:bookmarkEnd w:id="202"/>
    <w:bookmarkEnd w:id="203"/>
    <w:bookmarkEnd w:id="204"/>
    <w:bookmarkStart w:id="229"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8" w:name="sec:rcm-cngform"/>
    <w:p>
      <w:pPr>
        <w:pStyle w:val="berschrift4"/>
      </w:pPr>
      <w:r>
        <w:rPr>
          <w:rStyle w:val="VerbatimChar"/>
        </w:rPr>
        <w:t xml:space="preserve">5.1.</w:t>
      </w:r>
      <w:r>
        <w:t xml:space="preserve"> </w:t>
      </w:r>
      <w:r>
        <w:t xml:space="preserve">Cloud Optimized Formats</w:t>
      </w:r>
    </w:p>
    <w:p>
      <w:pPr>
        <w:pStyle w:val="FirstParagraph"/>
      </w:pPr>
      <w:r>
        <w:t xml:space="preserve">Identifier:</w:t>
      </w:r>
      <w:r>
        <w:t xml:space="preserve"> </w:t>
      </w:r>
      <w:r>
        <w:rPr>
          <w:rStyle w:val="VerbatimChar"/>
        </w:rPr>
        <w:t xml:space="preserve">rcm-cngform</w:t>
      </w:r>
    </w:p>
    <w:bookmarkStart w:id="205" w:name="threshold-requirements-40"/>
    <w:p>
      <w:pPr>
        <w:pStyle w:val="berschrift5"/>
      </w:pPr>
      <w:r>
        <w:t xml:space="preserve">Threshold requirements:</w:t>
      </w:r>
    </w:p>
    <w:p>
      <w:pPr>
        <w:pStyle w:val="FirstParagraph"/>
      </w:pPr>
      <w:r>
        <w:t xml:space="preserve">Not required.</w:t>
      </w:r>
      <w:r>
        <w:t xml:space="preserve"> </w:t>
      </w:r>
    </w:p>
    <w:bookmarkEnd w:id="205"/>
    <w:bookmarkStart w:id="206" w:name="goal-requirements-40"/>
    <w:p>
      <w:pPr>
        <w:pStyle w:val="berschrift5"/>
      </w:pPr>
      <w:r>
        <w:t xml:space="preserve">Goal requirements:</w:t>
      </w:r>
    </w:p>
    <w:p>
      <w:pPr>
        <w:pStyle w:val="FirstParagraph"/>
      </w:pPr>
      <w:r>
        <w:t xml:space="preserve">All files are provided using cloud-optimized file formats.</w:t>
      </w:r>
    </w:p>
    <w:bookmarkEnd w:id="206"/>
    <w:bookmarkStart w:id="207" w:name="assessment-40"/>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207"/>
    <w:bookmarkEnd w:id="208"/>
    <w:bookmarkStart w:id="212" w:name="sec:rcm-backsca-orb"/>
    <w:p>
      <w:pPr>
        <w:pStyle w:val="berschrift4"/>
      </w:pPr>
      <w:r>
        <w:rPr>
          <w:rStyle w:val="VerbatimChar"/>
        </w:rPr>
        <w:t xml:space="preserve">5.2.</w:t>
      </w:r>
      <w:r>
        <w:t xml:space="preserve"> </w:t>
      </w:r>
      <w:r>
        <w:t xml:space="preserve">Backscatter Measurements (ORB)</w:t>
      </w:r>
    </w:p>
    <w:p>
      <w:pPr>
        <w:pStyle w:val="FirstParagraph"/>
      </w:pPr>
      <w:r>
        <w:t xml:space="preserve">Identifier:</w:t>
      </w:r>
      <w:r>
        <w:t xml:space="preserve"> </w:t>
      </w:r>
      <w:r>
        <w:rPr>
          <w:rStyle w:val="VerbatimChar"/>
        </w:rPr>
        <w:t xml:space="preserve">rcm-backsca-orb</w:t>
      </w:r>
    </w:p>
    <w:bookmarkStart w:id="209" w:name="threshold-requirements-41"/>
    <w:p>
      <w:pPr>
        <w:pStyle w:val="berschrift5"/>
      </w:pPr>
      <w:r>
        <w:t xml:space="preserve">Threshold requirements:</w:t>
      </w:r>
    </w:p>
    <w:p>
      <w:pPr>
        <w:pStyle w:val="FirstParagraph"/>
      </w:pPr>
      <w:r>
        <w:t xml:space="preserve">Geoid-corrected Sigma-Nought backscatter coefficient (</w:t>
      </w:r>
      <m:oMath>
        <m:sSup>
          <m:e>
            <m:r>
              <m:t>σ</m:t>
            </m:r>
          </m:e>
          <m:sup>
            <m:r>
              <m:t>0</m:t>
            </m:r>
          </m:sup>
        </m:sSup>
      </m:oMath>
      <w:r>
        <w:t xml:space="preserve">) is provided for each polarization.</w:t>
      </w:r>
    </w:p>
    <w:p>
      <w:pPr>
        <w:pStyle w:val="Textkrper"/>
      </w:pPr>
      <w:r>
        <w:t xml:space="preserve">File format specifications/contents provided in metadata:</w:t>
      </w:r>
    </w:p>
    <w:p>
      <w:pPr>
        <w:pStyle w:val="Compact"/>
        <w:numPr>
          <w:ilvl w:val="0"/>
          <w:numId w:val="1072"/>
        </w:numPr>
      </w:pPr>
      <w:r>
        <w:t xml:space="preserve">Measurement Type (Sigma-Nought)</w:t>
      </w:r>
    </w:p>
    <w:p>
      <w:pPr>
        <w:pStyle w:val="Compact"/>
        <w:numPr>
          <w:ilvl w:val="0"/>
          <w:numId w:val="1072"/>
        </w:numPr>
      </w:pPr>
      <w:r>
        <w:t xml:space="preserve">Backscatter Expression Convention (linear amplitude, linear power*)</w:t>
      </w:r>
    </w:p>
    <w:p>
      <w:pPr>
        <w:pStyle w:val="Compact"/>
        <w:numPr>
          <w:ilvl w:val="0"/>
          <w:numId w:val="1072"/>
        </w:numPr>
      </w:pPr>
      <w:r>
        <w:t xml:space="preserve">Backscatter Conversion Equation</w:t>
      </w:r>
    </w:p>
    <w:p>
      <w:pPr>
        <w:pStyle w:val="Compact"/>
        <w:numPr>
          <w:ilvl w:val="0"/>
          <w:numId w:val="1072"/>
        </w:numPr>
      </w:pPr>
      <w:r>
        <w:t xml:space="preserve">Polarization (HH, HV, VV, VH)</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Transformation to the logarithm decibel scale is not required or desired as this step can be easily completed by the user if necessary.</w:t>
      </w:r>
    </w:p>
    <w:bookmarkEnd w:id="209"/>
    <w:bookmarkStart w:id="210" w:name="goal-requirements-41"/>
    <w:p>
      <w:pPr>
        <w:pStyle w:val="berschrift5"/>
      </w:pPr>
      <w:r>
        <w:t xml:space="preserve">Goal requirements:</w:t>
      </w:r>
    </w:p>
    <w:p>
      <w:pPr>
        <w:pStyle w:val="FirstParagraph"/>
      </w:pPr>
      <w:r>
        <w:t xml:space="preserve">Radiometrically Terrain-corrected Sigma-Nought backscatter coefficient (</w:t>
      </w:r>
      <m:oMath>
        <m:sSubSup>
          <m:e>
            <m:r>
              <m:t>σ</m:t>
            </m:r>
          </m:e>
          <m:sub>
            <m:r>
              <m:t>T</m:t>
            </m:r>
          </m:sub>
          <m:sup>
            <m:r>
              <m:t>0</m:t>
            </m:r>
          </m:sup>
        </m:sSubSup>
      </m:oMath>
      <w:r>
        <w:t xml:space="preserve">) is provided for each polarization.</w:t>
      </w:r>
    </w:p>
    <w:bookmarkEnd w:id="210"/>
    <w:bookmarkStart w:id="211" w:name="assessment-41"/>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11"/>
    <w:bookmarkEnd w:id="212"/>
    <w:bookmarkStart w:id="216" w:name="sec:rcm-scaconv"/>
    <w:p>
      <w:pPr>
        <w:pStyle w:val="berschrift4"/>
      </w:pPr>
      <w:r>
        <w:rPr>
          <w:rStyle w:val="VerbatimChar"/>
        </w:rPr>
        <w:t xml:space="preserve">5.3.</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13" w:name="threshold-requirements-42"/>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13"/>
    <w:bookmarkStart w:id="214" w:name="goal-requirements-42"/>
    <w:p>
      <w:pPr>
        <w:pStyle w:val="berschrift5"/>
      </w:pPr>
      <w:r>
        <w:t xml:space="preserve">Goal requirements:</w:t>
      </w:r>
    </w:p>
    <w:p>
      <w:pPr>
        <w:pStyle w:val="FirstParagraph"/>
      </w:pPr>
      <w:r>
        <w:t xml:space="preserve">As threshold, but use of float32.</w:t>
      </w:r>
    </w:p>
    <w:bookmarkEnd w:id="214"/>
    <w:bookmarkStart w:id="215" w:name="assessment-42"/>
    <w:p>
      <w:pPr>
        <w:pStyle w:val="berschrift5"/>
      </w:pPr>
      <w:r>
        <w:t xml:space="preserve">Assessment:</w:t>
      </w:r>
    </w:p>
    <w:p>
      <w:pPr>
        <w:pStyle w:val="Compact"/>
        <w:numPr>
          <w:ilvl w:val="0"/>
          <w:numId w:val="1075"/>
        </w:numPr>
      </w:pPr>
      <w:r>
        <w:t xml:space="preserve">Threshold Self-Assessment:</w:t>
      </w:r>
    </w:p>
    <w:p>
      <w:pPr>
        <w:pStyle w:val="Compact"/>
        <w:numPr>
          <w:ilvl w:val="0"/>
          <w:numId w:val="1075"/>
        </w:numPr>
      </w:pPr>
      <w:r>
        <w:t xml:space="preserve">Goal Self-Assessment:</w:t>
      </w:r>
    </w:p>
    <w:p>
      <w:pPr>
        <w:pStyle w:val="Compact"/>
        <w:numPr>
          <w:ilvl w:val="0"/>
          <w:numId w:val="1075"/>
        </w:numPr>
      </w:pPr>
      <w:r>
        <w:t xml:space="preserve">Self-Assessment Explanation/ Justification:</w:t>
      </w:r>
    </w:p>
    <w:p>
      <w:pPr>
        <w:pStyle w:val="Compact"/>
        <w:numPr>
          <w:ilvl w:val="0"/>
          <w:numId w:val="1075"/>
        </w:numPr>
      </w:pPr>
      <w:r>
        <w:t xml:space="preserve">Recommended Requirement Modification:</w:t>
      </w:r>
    </w:p>
    <w:p>
      <w:r>
        <w:pict>
          <v:rect style="width:0;height:1.5pt" o:hralign="center" o:hrstd="t" o:hr="t"/>
        </w:pict>
      </w:r>
    </w:p>
    <w:bookmarkEnd w:id="215"/>
    <w:bookmarkEnd w:id="216"/>
    <w:bookmarkStart w:id="220" w:name="sec:rcm-noiser"/>
    <w:p>
      <w:pPr>
        <w:pStyle w:val="berschrift4"/>
      </w:pPr>
      <w:r>
        <w:rPr>
          <w:rStyle w:val="VerbatimChar"/>
        </w:rPr>
        <w:t xml:space="preserve">5.4.</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17" w:name="threshold-requirements-43"/>
    <w:p>
      <w:pPr>
        <w:pStyle w:val="berschrift5"/>
      </w:pPr>
      <w:r>
        <w:t xml:space="preserve">Threshold requirements:</w:t>
      </w:r>
    </w:p>
    <w:p>
      <w:pPr>
        <w:pStyle w:val="FirstParagraph"/>
      </w:pPr>
      <w:r>
        <w:t xml:space="preserve">Flag if noise removal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6"/>
        </w:numPr>
      </w:pPr>
      <w:r>
        <w:t xml:space="preserve">Thermal noise removal and image border noise removal to remove overall scene noise and scene edge artefacts, respectively.</w:t>
      </w:r>
    </w:p>
    <w:bookmarkEnd w:id="217"/>
    <w:bookmarkStart w:id="218" w:name="goal-requirements-43"/>
    <w:p>
      <w:pPr>
        <w:pStyle w:val="berschrift5"/>
      </w:pPr>
      <w:r>
        <w:t xml:space="preserve">Goal requirements:</w:t>
      </w:r>
    </w:p>
    <w:p>
      <w:pPr>
        <w:pStyle w:val="FirstParagraph"/>
      </w:pPr>
      <w:r>
        <w:t xml:space="preserve">As threshold.</w:t>
      </w:r>
      <w:r>
        <w:t xml:space="preserve"> </w:t>
      </w:r>
    </w:p>
    <w:bookmarkEnd w:id="218"/>
    <w:bookmarkStart w:id="219" w:name="assessment-43"/>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19"/>
    <w:bookmarkEnd w:id="220"/>
    <w:bookmarkStart w:id="224"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21" w:name="threshold-requirements-44"/>
    <w:p>
      <w:pPr>
        <w:pStyle w:val="berschrift5"/>
      </w:pPr>
      <w:r>
        <w:t xml:space="preserve">Threshold requirements:</w:t>
      </w:r>
    </w:p>
    <w:p>
      <w:pPr>
        <w:pStyle w:val="FirstParagraph"/>
      </w:pPr>
      <w:r>
        <w:t xml:space="preserve">Not required.</w:t>
      </w:r>
      <w:r>
        <w:t xml:space="preserve"> </w:t>
      </w:r>
    </w:p>
    <w:bookmarkEnd w:id="221"/>
    <w:bookmarkStart w:id="222" w:name="goal-requirements-44"/>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22"/>
    <w:bookmarkStart w:id="223" w:name="assessment-44"/>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23"/>
    <w:bookmarkEnd w:id="224"/>
    <w:bookmarkStart w:id="228" w:name="sec:rcm-backsmwn"/>
    <w:p>
      <w:pPr>
        <w:pStyle w:val="berschrift4"/>
      </w:pPr>
      <w:r>
        <w:rPr>
          <w:rStyle w:val="VerbatimChar"/>
        </w:rPr>
        <w:t xml:space="preserve">5.6.</w:t>
      </w:r>
      <w:r>
        <w:t xml:space="preserve"> </w:t>
      </w:r>
      <w:r>
        <w:t xml:space="preserve">Mean Wind-Normalised Backscatter Measurements</w:t>
      </w:r>
    </w:p>
    <w:p>
      <w:pPr>
        <w:pStyle w:val="FirstParagraph"/>
      </w:pPr>
      <w:r>
        <w:t xml:space="preserve">Identifier:</w:t>
      </w:r>
      <w:r>
        <w:t xml:space="preserve"> </w:t>
      </w:r>
      <w:r>
        <w:rPr>
          <w:rStyle w:val="VerbatimChar"/>
        </w:rPr>
        <w:t xml:space="preserve">rcm-backsmwn</w:t>
      </w:r>
    </w:p>
    <w:p>
      <w:pPr>
        <w:pStyle w:val="Textkrper"/>
      </w:pPr>
      <w:r>
        <w:rPr>
          <w:b/>
          <w:bCs/>
        </w:rPr>
        <w:t xml:space="preserve">Usage:</w:t>
      </w:r>
      <w:r>
        <w:t xml:space="preserve"> </w:t>
      </w:r>
      <w:r>
        <w:t xml:space="preserve">Only for Maritime scenes.</w:t>
      </w:r>
    </w:p>
    <w:bookmarkStart w:id="225" w:name="threshold-requirements-45"/>
    <w:p>
      <w:pPr>
        <w:pStyle w:val="berschrift5"/>
      </w:pPr>
      <w:r>
        <w:t xml:space="preserve">Threshold requirements:</w:t>
      </w:r>
    </w:p>
    <w:p>
      <w:pPr>
        <w:pStyle w:val="FirstParagraph"/>
      </w:pPr>
      <w:r>
        <w:t xml:space="preserve">Not required.</w:t>
      </w:r>
      <w:r>
        <w:t xml:space="preserve"> </w:t>
      </w:r>
    </w:p>
    <w:bookmarkEnd w:id="225"/>
    <w:bookmarkStart w:id="226" w:name="goal-requirements-45"/>
    <w:p>
      <w:pPr>
        <w:pStyle w:val="berschrift5"/>
      </w:pPr>
      <w:r>
        <w:t xml:space="preserve">Goal requirements:</w:t>
      </w:r>
    </w:p>
    <w:p>
      <w:pPr>
        <w:pStyle w:val="FirstParagraph"/>
      </w:pPr>
      <w:r>
        <w:t xml:space="preserve">Mean wind-normalised (over ocean) backscatter coefficient is provided for each available polarization.</w:t>
      </w:r>
      <w:r>
        <w:t xml:space="preserve"> </w:t>
      </w:r>
      <w:r>
        <w:t xml:space="preserve">It is calculated as the ratio between the backscatter intensity and a simulated backscatter intensity image generated using an ocean surface wind model such as, e.g.,</w:t>
      </w:r>
      <w:r>
        <w:t xml:space="preserve"> </w:t>
      </w:r>
      <w:r>
        <w:t xml:space="preserve">(</w:t>
      </w:r>
      <w:hyperlink w:anchor="ref-quilfen1998">
        <w:r>
          <w:rPr>
            <w:rStyle w:val="Hyperlink"/>
          </w:rPr>
          <w:t xml:space="preserve">Yves et al. 1998</w:t>
        </w:r>
      </w:hyperlink>
      <w:r>
        <w:t xml:space="preserve">)</w:t>
      </w:r>
      <w:r>
        <w:t xml:space="preserve"> </w:t>
      </w:r>
      <w:r>
        <w:t xml:space="preserve">or</w:t>
      </w:r>
      <w:r>
        <w:t xml:space="preserve"> </w:t>
      </w:r>
      <w:r>
        <w:t xml:space="preserve">(</w:t>
      </w:r>
      <w:hyperlink w:anchor="ref-vachon2000">
        <w:r>
          <w:rPr>
            <w:rStyle w:val="Hyperlink"/>
          </w:rPr>
          <w:t xml:space="preserve">Vachon and Dobson 2000</w:t>
        </w:r>
      </w:hyperlink>
      <w:r>
        <w:t xml:space="preserve">)</w:t>
      </w:r>
      <w:r>
        <w:t xml:space="preserve"> </w:t>
      </w:r>
      <w:r>
        <w:t xml:space="preserve">for VV and HH polarization respectively.</w:t>
      </w:r>
    </w:p>
    <w:p>
      <w:pPr>
        <w:pStyle w:val="Textkrper"/>
      </w:pPr>
      <w:r>
        <w:t xml:space="preserve">File format specifications/contents provided in metadata:</w:t>
      </w:r>
    </w:p>
    <w:p>
      <w:pPr>
        <w:pStyle w:val="Compact"/>
        <w:numPr>
          <w:ilvl w:val="0"/>
          <w:numId w:val="1079"/>
        </w:numPr>
      </w:pPr>
      <w:r>
        <w:t xml:space="preserve">Measurement Type (Wind-Normalised Backscatter)</w:t>
      </w:r>
    </w:p>
    <w:p>
      <w:pPr>
        <w:pStyle w:val="Compact"/>
        <w:numPr>
          <w:ilvl w:val="0"/>
          <w:numId w:val="1079"/>
        </w:numPr>
      </w:pPr>
      <w:r>
        <w:t xml:space="preserve">Backscatter Expression Convention (intensity ratio)</w:t>
      </w:r>
    </w:p>
    <w:p>
      <w:pPr>
        <w:pStyle w:val="Compact"/>
        <w:numPr>
          <w:ilvl w:val="0"/>
          <w:numId w:val="1079"/>
        </w:numPr>
      </w:pPr>
      <w:r>
        <w:t xml:space="preserve">Polarization (HH, HV, VV, VH)</w:t>
      </w:r>
    </w:p>
    <w:p>
      <w:pPr>
        <w:pStyle w:val="Compact"/>
        <w:numPr>
          <w:ilvl w:val="0"/>
          <w:numId w:val="1079"/>
        </w:numPr>
      </w:pPr>
      <w:r>
        <w:t xml:space="preserve">Data Format (GeoTIFF, HDF5, NetCDF, …)</w:t>
      </w:r>
    </w:p>
    <w:p>
      <w:pPr>
        <w:pStyle w:val="Compact"/>
        <w:numPr>
          <w:ilvl w:val="0"/>
          <w:numId w:val="1079"/>
        </w:numPr>
      </w:pPr>
      <w:r>
        <w:t xml:space="preserve">Data Type (Int, Float, …)</w:t>
      </w:r>
    </w:p>
    <w:p>
      <w:pPr>
        <w:pStyle w:val="Compact"/>
        <w:numPr>
          <w:ilvl w:val="0"/>
          <w:numId w:val="1079"/>
        </w:numPr>
      </w:pPr>
      <w:r>
        <w:t xml:space="preserve">Bits per Sample</w:t>
      </w:r>
    </w:p>
    <w:p>
      <w:pPr>
        <w:pStyle w:val="Compact"/>
        <w:numPr>
          <w:ilvl w:val="0"/>
          <w:numId w:val="1079"/>
        </w:numPr>
      </w:pPr>
      <w:r>
        <w:t xml:space="preserve">Byte Order</w:t>
      </w:r>
    </w:p>
    <w:p>
      <w:pPr>
        <w:pStyle w:val="FirstParagraph"/>
      </w:pPr>
      <w:r>
        <w:t xml:space="preserve">Note:</w:t>
      </w:r>
    </w:p>
    <w:p>
      <w:pPr>
        <w:pStyle w:val="Compact"/>
        <w:numPr>
          <w:ilvl w:val="0"/>
          <w:numId w:val="1080"/>
        </w:numPr>
      </w:pPr>
      <w:r>
        <w:t xml:space="preserve">Reference wind model, wind speed and direction used for reference backscattering coefficient should be provided.</w:t>
      </w:r>
    </w:p>
    <w:bookmarkEnd w:id="226"/>
    <w:bookmarkStart w:id="227" w:name="assessment-45"/>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bookmarkEnd w:id="227"/>
    <w:bookmarkEnd w:id="228"/>
    <w:bookmarkEnd w:id="229"/>
    <w:bookmarkStart w:id="250" w:name="sec:gcor"/>
    <w:p>
      <w:pPr>
        <w:pStyle w:val="berschrift3"/>
      </w:pPr>
      <w:r>
        <w:rPr>
          <w:rStyle w:val="VerbatimChar"/>
        </w:rPr>
        <w:t xml:space="preserve">6.</w:t>
      </w:r>
      <w:r>
        <w:t xml:space="preserve"> </w:t>
      </w:r>
      <w:r>
        <w:t xml:space="preserve">Geometric Corrections</w:t>
      </w:r>
    </w:p>
    <w:p>
      <w:pPr>
        <w:pStyle w:val="FirstParagraph"/>
      </w:pPr>
      <w:r>
        <w:t xml:space="preserve">The 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33"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30" w:name="threshold-requirements-46"/>
    <w:p>
      <w:pPr>
        <w:pStyle w:val="berschrift5"/>
      </w:pPr>
      <w:r>
        <w:t xml:space="preserve">Threshold requirements:</w:t>
      </w:r>
    </w:p>
    <w:p>
      <w:pPr>
        <w:pStyle w:val="FirstParagraph"/>
      </w:pPr>
      <w:r>
        <w:t xml:space="preserve">Not required.</w:t>
      </w:r>
      <w:r>
        <w:t xml:space="preserve"> </w:t>
      </w:r>
    </w:p>
    <w:bookmarkEnd w:id="230"/>
    <w:bookmarkStart w:id="231" w:name="goal-requirements-46"/>
    <w:p>
      <w:pPr>
        <w:pStyle w:val="berschrift5"/>
      </w:pPr>
      <w:r>
        <w:t xml:space="preserve">Goal requirements:</w:t>
      </w:r>
    </w:p>
    <w:p>
      <w:pPr>
        <w:pStyle w:val="FirstParagraph"/>
      </w:pPr>
      <w:r>
        <w:t xml:space="preserve">Metadata references, e.g.:</w:t>
      </w:r>
    </w:p>
    <w:p>
      <w:pPr>
        <w:pStyle w:val="Compact"/>
        <w:numPr>
          <w:ilvl w:val="0"/>
          <w:numId w:val="1082"/>
        </w:numPr>
      </w:pPr>
      <w:r>
        <w:t xml:space="preserve">A metadata citable peer-reviewed algorithm</w:t>
      </w:r>
    </w:p>
    <w:p>
      <w:pPr>
        <w:pStyle w:val="Compact"/>
        <w:numPr>
          <w:ilvl w:val="0"/>
          <w:numId w:val="1082"/>
        </w:numPr>
      </w:pPr>
      <w:r>
        <w:t xml:space="preserve">Technical documentation regarding the implementation of that algorithm expressed as URLs or DOIs</w:t>
      </w:r>
    </w:p>
    <w:p>
      <w:pPr>
        <w:pStyle w:val="Compact"/>
        <w:numPr>
          <w:ilvl w:val="0"/>
          <w:numId w:val="1082"/>
        </w:numPr>
      </w:pPr>
      <w:r>
        <w:t xml:space="preserve">The sources of auxiliary data used to make corrections</w:t>
      </w:r>
    </w:p>
    <w:p>
      <w:pPr>
        <w:pStyle w:val="Compact"/>
        <w:numPr>
          <w:ilvl w:val="0"/>
          <w:numId w:val="1082"/>
        </w:numPr>
      </w:pPr>
      <w:r>
        <w:t xml:space="preserve">Resampling method used for geometric processing of the source data</w:t>
      </w:r>
    </w:p>
    <w:p>
      <w:pPr>
        <w:pStyle w:val="FirstParagraph"/>
      </w:pPr>
      <w:r>
        <w:t xml:space="preserve">Note:</w:t>
      </w:r>
    </w:p>
    <w:p>
      <w:pPr>
        <w:pStyle w:val="Compact"/>
        <w:numPr>
          <w:ilvl w:val="0"/>
          <w:numId w:val="1083"/>
        </w:numPr>
      </w:pPr>
      <w:r>
        <w:t xml:space="preserve">Examples of technical documentation can include e.g., an Algorithm Theoretical Basis Document (ATBD) or a product user guide.</w:t>
      </w:r>
    </w:p>
    <w:bookmarkEnd w:id="231"/>
    <w:bookmarkStart w:id="232" w:name="assessment-46"/>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32"/>
    <w:bookmarkEnd w:id="233"/>
    <w:bookmarkStart w:id="237"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 For products including land areas.</w:t>
      </w:r>
    </w:p>
    <w:bookmarkStart w:id="234" w:name="threshold-requirements-47"/>
    <w:p>
      <w:pPr>
        <w:pStyle w:val="berschrift5"/>
      </w:pPr>
      <w:r>
        <w:t xml:space="preserve">Threshold requirements:</w:t>
      </w:r>
    </w:p>
    <w:p>
      <w:pPr>
        <w:pStyle w:val="Compact"/>
        <w:numPr>
          <w:ilvl w:val="0"/>
          <w:numId w:val="1085"/>
        </w:numPr>
      </w:pPr>
      <w:r>
        <w:t xml:space="preserve">During ortho-rectification, the data provider shall use the same DEM that was used for the radiometric terrain flattening to ensure consistency of the data stack.</w:t>
      </w:r>
    </w:p>
    <w:p>
      <w:pPr>
        <w:pStyle w:val="Compact"/>
        <w:numPr>
          <w:ilvl w:val="0"/>
          <w:numId w:val="1085"/>
        </w:numPr>
      </w:pPr>
      <w:r>
        <w:t xml:space="preserve">Provide reference to Digital Elevation Model used for geometric terrain correction.</w:t>
      </w:r>
    </w:p>
    <w:p>
      <w:pPr>
        <w:pStyle w:val="Compact"/>
        <w:numPr>
          <w:ilvl w:val="0"/>
          <w:numId w:val="1085"/>
        </w:numPr>
      </w:pPr>
      <w:r>
        <w:t xml:space="preserve">Provide reference to Earth Gravitational Model (EGM) used for geometric correction.</w:t>
      </w:r>
    </w:p>
    <w:bookmarkEnd w:id="234"/>
    <w:bookmarkStart w:id="235" w:name="goal-requirements-47"/>
    <w:p>
      <w:pPr>
        <w:pStyle w:val="berschrift5"/>
      </w:pPr>
      <w:r>
        <w:t xml:space="preserve">Goal requirements:</w:t>
      </w:r>
    </w:p>
    <w:p>
      <w:pPr>
        <w:pStyle w:val="Compact"/>
        <w:numPr>
          <w:ilvl w:val="0"/>
          <w:numId w:val="1086"/>
        </w:numPr>
      </w:pPr>
      <w:r>
        <w:t xml:space="preserve">A DEM with comparable or better resolution to the resolution of the output CEOS-ARD product shall be used if available.</w:t>
      </w:r>
      <w:r>
        <w:t xml:space="preserve"> </w:t>
      </w:r>
      <w:r>
        <w:t xml:space="preserve">Else, the upsampled DEM is identified.</w:t>
      </w:r>
    </w:p>
    <w:p>
      <w:pPr>
        <w:pStyle w:val="Compact"/>
        <w:numPr>
          <w:ilvl w:val="0"/>
          <w:numId w:val="1086"/>
        </w:numPr>
      </w:pPr>
      <w:r>
        <w:t xml:space="preserve">Resampling method used for preparation of the DEM.</w:t>
      </w:r>
    </w:p>
    <w:p>
      <w:pPr>
        <w:pStyle w:val="Compact"/>
        <w:numPr>
          <w:ilvl w:val="0"/>
          <w:numId w:val="1086"/>
        </w:numPr>
      </w:pPr>
      <w:r>
        <w:t xml:space="preserve">Method used for resampling the EGM.</w:t>
      </w:r>
    </w:p>
    <w:bookmarkEnd w:id="235"/>
    <w:bookmarkStart w:id="236" w:name="assessment-47"/>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36"/>
    <w:bookmarkEnd w:id="237"/>
    <w:bookmarkStart w:id="241"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38" w:name="threshold-requirements-48"/>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p>
    <w:p>
      <w:pPr>
        <w:pStyle w:val="Textkrper"/>
      </w:pPr>
      <w:r>
        <w:t xml:space="preserve">The end-to-end “ARD” ALE of the final CEOS-ARD product could be measured directly in the final image product in the chosen map projection, i.e., in the map coordinate directions: e.g., Northing and Easting (case B: ARD ALE).</w:t>
      </w:r>
    </w:p>
    <w:p>
      <w:pPr>
        <w:pStyle w:val="Textkrper"/>
      </w:pP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Notes:</w:t>
      </w:r>
    </w:p>
    <w:p>
      <w:pPr>
        <w:pStyle w:val="Compact"/>
        <w:numPr>
          <w:ilvl w:val="0"/>
          <w:numId w:val="1088"/>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88"/>
        </w:numPr>
      </w:pPr>
      <w:r>
        <w:t xml:space="preserve">The ALE is not typically assessed for every processed image, but through an ALE assessment by the data processing team characterizing all or (usually a subset) of the generated products.</w:t>
      </w:r>
    </w:p>
    <w:bookmarkEnd w:id="238"/>
    <w:bookmarkStart w:id="239" w:name="goal-requirements-48"/>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9"/>
    <w:bookmarkStart w:id="240" w:name="assessment-48"/>
    <w:p>
      <w:pPr>
        <w:pStyle w:val="berschrift5"/>
      </w:pPr>
      <w:r>
        <w:t xml:space="preserve">Assessment:</w:t>
      </w:r>
    </w:p>
    <w:p>
      <w:pPr>
        <w:pStyle w:val="Compact"/>
        <w:numPr>
          <w:ilvl w:val="0"/>
          <w:numId w:val="1089"/>
        </w:numPr>
      </w:pPr>
      <w:r>
        <w:t xml:space="preserve">Threshold Self-Assessment:</w:t>
      </w:r>
    </w:p>
    <w:p>
      <w:pPr>
        <w:pStyle w:val="Compact"/>
        <w:numPr>
          <w:ilvl w:val="0"/>
          <w:numId w:val="1089"/>
        </w:numPr>
      </w:pPr>
      <w:r>
        <w:t xml:space="preserve">Goal Self-Assessment:</w:t>
      </w:r>
    </w:p>
    <w:p>
      <w:pPr>
        <w:pStyle w:val="Compact"/>
        <w:numPr>
          <w:ilvl w:val="0"/>
          <w:numId w:val="1089"/>
        </w:numPr>
      </w:pPr>
      <w:r>
        <w:t xml:space="preserve">Self-Assessment Explanation/ Justification:</w:t>
      </w:r>
    </w:p>
    <w:p>
      <w:pPr>
        <w:pStyle w:val="Compact"/>
        <w:numPr>
          <w:ilvl w:val="0"/>
          <w:numId w:val="1089"/>
        </w:numPr>
      </w:pPr>
      <w:r>
        <w:t xml:space="preserve">Recommended Requirement Modification:</w:t>
      </w:r>
    </w:p>
    <w:p>
      <w:r>
        <w:pict>
          <v:rect style="width:0;height:1.5pt" o:hralign="center" o:hrstd="t" o:hr="t"/>
        </w:pict>
      </w:r>
    </w:p>
    <w:bookmarkEnd w:id="240"/>
    <w:bookmarkEnd w:id="241"/>
    <w:bookmarkStart w:id="245"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42" w:name="threshold-requirements-49"/>
    <w:p>
      <w:pPr>
        <w:pStyle w:val="berschrift5"/>
      </w:pPr>
      <w:r>
        <w:t xml:space="preserve">Threshold requirements:</w:t>
      </w:r>
    </w:p>
    <w:p>
      <w:pPr>
        <w:pStyle w:val="FirstParagraph"/>
      </w:pPr>
      <w:r>
        <w:t xml:space="preserve">Not required.</w:t>
      </w:r>
      <w:r>
        <w:t xml:space="preserve"> </w:t>
      </w:r>
    </w:p>
    <w:bookmarkEnd w:id="242"/>
    <w:bookmarkStart w:id="243" w:name="goal-requirements-49"/>
    <w:p>
      <w:pPr>
        <w:pStyle w:val="berschrift5"/>
      </w:pPr>
      <w:r>
        <w:t xml:space="preserve">Goal requirements:</w:t>
      </w:r>
    </w:p>
    <w:p>
      <w:pPr>
        <w:pStyle w:val="FirstParagraph"/>
      </w:pPr>
      <w:r>
        <w:t xml:space="preserve">Values provided under Section </w:t>
      </w:r>
      <w:r>
        <w:t xml:space="preserve">“</w:t>
      </w:r>
      <w:hyperlink w:anchor="sec:gcor-geomacc-sar">
        <w:r>
          <w:rPr>
            <w:rStyle w:val="Hyperlink"/>
          </w:rPr>
          <w:t xml:space="preserve">Geometric Corrections: Geometric Accuracy</w:t>
        </w:r>
      </w:hyperlink>
      <w:r>
        <w:t xml:space="preserve">”</w:t>
      </w:r>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bookmarkEnd w:id="243"/>
    <w:bookmarkStart w:id="244" w:name="assessment-49"/>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44"/>
    <w:bookmarkEnd w:id="245"/>
    <w:bookmarkStart w:id="249"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46" w:name="threshold-requirements-50"/>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1"/>
        </w:numPr>
      </w:pPr>
      <w:r>
        <w:t xml:space="preserve">If a product hierarchy of resolutions exists (or is planned), the multiple resolutions should nest within each other (e.g., 12.5m, 25m, 50m, 100m, etc.), and not be disjoint.</w:t>
      </w:r>
    </w:p>
    <w:bookmarkEnd w:id="246"/>
    <w:bookmarkStart w:id="247" w:name="goal-requirements-50"/>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47"/>
    <w:bookmarkStart w:id="248" w:name="assessment-50"/>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br w:type="page"/>
      </w:r>
    </w:p>
    <w:bookmarkEnd w:id="248"/>
    <w:bookmarkEnd w:id="249"/>
    <w:bookmarkEnd w:id="250"/>
    <w:bookmarkEnd w:id="251"/>
    <w:bookmarkStart w:id="258" w:name="summary-self-assessment-table"/>
    <w:p>
      <w:pPr>
        <w:pStyle w:val="berschrift2"/>
      </w:pPr>
      <w:r>
        <w:t xml:space="preserve">Summary Self-Assessment Table</w:t>
      </w:r>
    </w:p>
    <w:bookmarkStart w:id="252"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jc w:val="center"/>
            </w:pPr>
            <w:r>
              <w:rPr>
                <w:i/>
                <w:iCs/>
              </w:rPr>
              <w:t xml:space="preserve">as threshold</w:t>
            </w:r>
          </w:p>
        </w:tc>
      </w:tr>
    </w:tbl>
    <w:bookmarkEnd w:id="252"/>
    <w:bookmarkStart w:id="253"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53"/>
    <w:bookmarkStart w:id="254"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prd-lookdip</w:t>
            </w:r>
          </w:p>
        </w:tc>
        <w:tc>
          <w:tcPr/>
          <w:p>
            <w:pPr>
              <w:pStyle w:val="Compact"/>
            </w:pPr>
            <w:r>
              <w:t xml:space="preserve">Look Direction Polynomials</w:t>
            </w:r>
          </w:p>
        </w:tc>
        <w:tc>
          <w:tcPr/>
          <w:p>
            <w:pPr>
              <w:pStyle w:val="Compact"/>
            </w:pPr>
          </w:p>
        </w:tc>
        <w:tc>
          <w:tcPr/>
          <w:p>
            <w:pPr>
              <w:pStyle w:val="Compact"/>
              <w:jc w:val="center"/>
            </w:pPr>
            <w:r>
              <w:rPr>
                <w:i/>
                <w:iCs/>
              </w:rPr>
              <w:t xml:space="preserve">as threshold</w:t>
            </w:r>
          </w:p>
        </w:tc>
      </w:tr>
    </w:tbl>
    <w:bookmarkEnd w:id="254"/>
    <w:bookmarkStart w:id="255"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w:t>
            </w:r>
          </w:p>
        </w:tc>
        <w:tc>
          <w:tcPr/>
          <w:p>
            <w:pPr>
              <w:pStyle w:val="Compact"/>
            </w:pPr>
            <w:r>
              <w:t xml:space="preserve">Acquisition ID Image</w:t>
            </w:r>
          </w:p>
        </w:tc>
        <w:tc>
          <w:tcPr/>
          <w:p>
            <w:pPr>
              <w:pStyle w:val="Compact"/>
            </w:pPr>
          </w:p>
        </w:tc>
        <w:tc>
          <w:tcPr/>
          <w:p>
            <w:pPr>
              <w:pStyle w:val="Compact"/>
            </w:pPr>
          </w:p>
        </w:tc>
      </w:tr>
      <w:tr>
        <w:tc>
          <w:tcPr/>
          <w:p>
            <w:pPr>
              <w:pStyle w:val="Compact"/>
            </w:pPr>
            <w:r>
              <w:rPr>
                <w:rStyle w:val="VerbatimChar"/>
              </w:rPr>
              <w:t xml:space="preserve">pxl-pigeoid</w:t>
            </w:r>
          </w:p>
        </w:tc>
        <w:tc>
          <w:tcPr/>
          <w:p>
            <w:pPr>
              <w:pStyle w:val="Compact"/>
            </w:pPr>
            <w:r>
              <w:t xml:space="preserve">Per-Pixel Geoid</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pxl-lookdiri</w:t>
            </w:r>
          </w:p>
        </w:tc>
        <w:tc>
          <w:tcPr/>
          <w:p>
            <w:pPr>
              <w:pStyle w:val="Compact"/>
            </w:pPr>
            <w:r>
              <w:t xml:space="preserve">Look Direction Image</w:t>
            </w:r>
          </w:p>
        </w:tc>
        <w:tc>
          <w:tcPr/>
          <w:p>
            <w:pPr>
              <w:pStyle w:val="Compact"/>
              <w:jc w:val="center"/>
            </w:pPr>
            <w:r>
              <w:rPr>
                <w:i/>
                <w:iCs/>
              </w:rPr>
              <w:t xml:space="preserve">not required</w:t>
            </w:r>
          </w:p>
        </w:tc>
        <w:tc>
          <w:tcPr/>
          <w:p>
            <w:pPr>
              <w:pStyle w:val="Compact"/>
            </w:pPr>
          </w:p>
        </w:tc>
      </w:tr>
    </w:tbl>
    <w:bookmarkEnd w:id="255"/>
    <w:bookmarkStart w:id="256"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rcm-cngform</w:t>
            </w:r>
          </w:p>
        </w:tc>
        <w:tc>
          <w:tcPr/>
          <w:p>
            <w:pPr>
              <w:pStyle w:val="Compact"/>
            </w:pPr>
            <w:r>
              <w:t xml:space="preserve">Cloud Optimized Formats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rcm-backsca-orb</w:t>
            </w:r>
          </w:p>
        </w:tc>
        <w:tc>
          <w:tcPr/>
          <w:p>
            <w:pPr>
              <w:pStyle w:val="Compact"/>
            </w:pPr>
            <w:r>
              <w:t xml:space="preserve">Backscatter Measurements (ORB)</w:t>
            </w:r>
          </w:p>
        </w:tc>
        <w:tc>
          <w:tcPr/>
          <w:p>
            <w:pPr>
              <w:pStyle w:val="Compact"/>
            </w:pP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rcm-backsmwn</w:t>
            </w:r>
          </w:p>
        </w:tc>
        <w:tc>
          <w:tcPr/>
          <w:p>
            <w:pPr>
              <w:pStyle w:val="Compact"/>
            </w:pPr>
            <w:r>
              <w:t xml:space="preserve">Mean Wind-Normalised Backscatter Measurements</w:t>
            </w:r>
          </w:p>
        </w:tc>
        <w:tc>
          <w:tcPr/>
          <w:p>
            <w:pPr>
              <w:pStyle w:val="Compact"/>
              <w:jc w:val="center"/>
            </w:pPr>
            <w:r>
              <w:rPr>
                <w:i/>
                <w:iCs/>
              </w:rPr>
              <w:t xml:space="preserve">not required</w:t>
            </w:r>
          </w:p>
        </w:tc>
        <w:tc>
          <w:tcPr/>
          <w:p>
            <w:pPr>
              <w:pStyle w:val="Compact"/>
            </w:pPr>
          </w:p>
        </w:tc>
      </w:tr>
    </w:tbl>
    <w:bookmarkEnd w:id="256"/>
    <w:bookmarkStart w:id="257"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57"/>
    <w:bookmarkEnd w:id="258"/>
    <w:bookmarkStart w:id="263"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9"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9"/>
    <w:bookmarkStart w:id="261"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3"/>
        </w:numPr>
      </w:pPr>
      <w:r>
        <w:t xml:space="preserve">that product has been assessed as meeting CEOS-ARD requirements by the agency responsible for production and distribution of the product, and</w:t>
      </w:r>
    </w:p>
    <w:p>
      <w:pPr>
        <w:pStyle w:val="Compact"/>
        <w:numPr>
          <w:ilvl w:val="0"/>
          <w:numId w:val="1093"/>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60">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61"/>
    <w:bookmarkStart w:id="262"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62"/>
    <w:bookmarkEnd w:id="263"/>
    <w:bookmarkStart w:id="284" w:name="references"/>
    <w:p>
      <w:pPr>
        <w:pStyle w:val="berschrift2"/>
      </w:pPr>
      <w:r>
        <w:t xml:space="preserve">References</w:t>
      </w:r>
    </w:p>
    <w:bookmarkStart w:id="283" w:name="refs"/>
    <w:bookmarkStart w:id="264"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64"/>
    <w:bookmarkStart w:id="266"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5">
        <w:r>
          <w:rPr>
            <w:rStyle w:val="Hyperlink"/>
          </w:rPr>
          <w:t xml:space="preserve">https://doi.org/10.1109/TGRS.2008.2002881</w:t>
        </w:r>
      </w:hyperlink>
      <w:r>
        <w:t xml:space="preserve">.</w:t>
      </w:r>
    </w:p>
    <w:bookmarkEnd w:id="266"/>
    <w:bookmarkStart w:id="268" w:name="ref-raney2012"/>
    <w:p>
      <w:pPr>
        <w:pStyle w:val="Literaturverzeichnis"/>
      </w:pPr>
      <w:r>
        <w:t xml:space="preserve">Raney, Russell, Joshua Cahill, G. Patterson, and D. Bussey. 2012.</w:t>
      </w:r>
      <w:r>
        <w:t xml:space="preserve"> </w:t>
      </w:r>
      <w:r>
        <w:t xml:space="preserve">“The m-Chi Decomposition of Hybrid Dual-Polarimetric Radar Data with Application to Lunar Craters.”</w:t>
      </w:r>
      <w:r>
        <w:t xml:space="preserve"> </w:t>
      </w:r>
      <w:r>
        <w:rPr>
          <w:i/>
          <w:iCs/>
        </w:rPr>
        <w:t xml:space="preserve">Journal of Geophysical Research (Planets)</w:t>
      </w:r>
      <w:r>
        <w:t xml:space="preserve"> </w:t>
      </w:r>
      <w:r>
        <w:t xml:space="preserve">117 (May).</w:t>
      </w:r>
      <w:r>
        <w:t xml:space="preserve"> </w:t>
      </w:r>
      <w:hyperlink r:id="rId267">
        <w:r>
          <w:rPr>
            <w:rStyle w:val="Hyperlink"/>
          </w:rPr>
          <w:t xml:space="preserve">https://doi.org/10.1029/2011JE003986</w:t>
        </w:r>
      </w:hyperlink>
      <w:r>
        <w:t xml:space="preserve">.</w:t>
      </w:r>
    </w:p>
    <w:bookmarkEnd w:id="268"/>
    <w:bookmarkStart w:id="270"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69">
        <w:r>
          <w:rPr>
            <w:rStyle w:val="Hyperlink"/>
          </w:rPr>
          <w:t xml:space="preserve">https://doi.org/10.1109/TGRS.2022.3147472</w:t>
        </w:r>
      </w:hyperlink>
      <w:r>
        <w:t xml:space="preserve">.</w:t>
      </w:r>
    </w:p>
    <w:bookmarkEnd w:id="270"/>
    <w:bookmarkStart w:id="272"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71">
        <w:r>
          <w:rPr>
            <w:rStyle w:val="Hyperlink"/>
          </w:rPr>
          <w:t xml:space="preserve">https://doi.org/10.1109/TGRS.2011.2120616</w:t>
        </w:r>
      </w:hyperlink>
      <w:r>
        <w:t xml:space="preserve">.</w:t>
      </w:r>
    </w:p>
    <w:bookmarkEnd w:id="272"/>
    <w:bookmarkStart w:id="274" w:name="ref-vachon2000"/>
    <w:p>
      <w:pPr>
        <w:pStyle w:val="Literaturverzeichnis"/>
      </w:pPr>
      <w:r>
        <w:t xml:space="preserve">Vachon, P., and F. Dobson. 2000.</w:t>
      </w:r>
      <w:r>
        <w:t xml:space="preserve"> </w:t>
      </w:r>
      <w:r>
        <w:t xml:space="preserve">“Wind Retrieval from RADARSAT SAR Images: Selection of a Suitable c-Band HH Polarization Wind Retrieval Model.”</w:t>
      </w:r>
      <w:r>
        <w:t xml:space="preserve"> </w:t>
      </w:r>
      <w:r>
        <w:rPr>
          <w:i/>
          <w:iCs/>
        </w:rPr>
        <w:t xml:space="preserve">Can. J. Remote Sens.</w:t>
      </w:r>
      <w:r>
        <w:t xml:space="preserve"> </w:t>
      </w:r>
      <w:r>
        <w:t xml:space="preserve">26 (August): 306–13.</w:t>
      </w:r>
      <w:r>
        <w:t xml:space="preserve"> </w:t>
      </w:r>
      <w:hyperlink r:id="rId273">
        <w:r>
          <w:rPr>
            <w:rStyle w:val="Hyperlink"/>
          </w:rPr>
          <w:t xml:space="preserve">https://doi.org/10.1080/07038992.2000.10874781</w:t>
        </w:r>
      </w:hyperlink>
      <w:r>
        <w:t xml:space="preserve">.</w:t>
      </w:r>
    </w:p>
    <w:bookmarkEnd w:id="274"/>
    <w:bookmarkStart w:id="276" w:name="ref-yamaguchi2011"/>
    <w:p>
      <w:pPr>
        <w:pStyle w:val="Literaturverzeichnis"/>
      </w:pPr>
      <w:r>
        <w:t xml:space="preserve">Yamaguchi, Yoshio, Akinobu Sato, Wolfgang-Martin Boerner, Ryoichi Sato, and Hiroyoshi Yamada. 2011.</w:t>
      </w:r>
      <w:r>
        <w:t xml:space="preserve"> </w:t>
      </w:r>
      <w:r>
        <w:t xml:space="preserve">“Four-Component Scattering Power Decomposition with Rotation of Coherency Matrix.”</w:t>
      </w:r>
      <w:r>
        <w:t xml:space="preserve"> </w:t>
      </w:r>
      <w:r>
        <w:rPr>
          <w:i/>
          <w:iCs/>
        </w:rPr>
        <w:t xml:space="preserve">Geoscience and Remote Sensing, IEEE Transactions on</w:t>
      </w:r>
      <w:r>
        <w:t xml:space="preserve"> </w:t>
      </w:r>
      <w:r>
        <w:t xml:space="preserve">49 (July): 2251–58.</w:t>
      </w:r>
      <w:r>
        <w:t xml:space="preserve"> </w:t>
      </w:r>
      <w:hyperlink r:id="rId275">
        <w:r>
          <w:rPr>
            <w:rStyle w:val="Hyperlink"/>
          </w:rPr>
          <w:t xml:space="preserve">https://doi.org/10.1109/TGRS.2010.2099124</w:t>
        </w:r>
      </w:hyperlink>
      <w:r>
        <w:t xml:space="preserve">.</w:t>
      </w:r>
    </w:p>
    <w:bookmarkEnd w:id="276"/>
    <w:bookmarkStart w:id="278" w:name="ref-quilfen1998"/>
    <w:p>
      <w:pPr>
        <w:pStyle w:val="Literaturverzeichnis"/>
      </w:pPr>
      <w:r>
        <w:t xml:space="preserve">Yves, Quilfen, B. Chapron, T. Elfouhaily, Kristina Katsaros, and Jean Tournadre. 1998.</w:t>
      </w:r>
      <w:r>
        <w:t xml:space="preserve"> </w:t>
      </w:r>
      <w:r>
        <w:t xml:space="preserve">“Observation of Tropical Cyclones by High-Resolution Scatterometry.”</w:t>
      </w:r>
      <w:r>
        <w:t xml:space="preserve"> </w:t>
      </w:r>
      <w:r>
        <w:rPr>
          <w:i/>
          <w:iCs/>
        </w:rPr>
        <w:t xml:space="preserve">J. Geophys. Res.</w:t>
      </w:r>
      <w:r>
        <w:t xml:space="preserve"> </w:t>
      </w:r>
      <w:r>
        <w:t xml:space="preserve">103 (April): 7, 767–67, 786.</w:t>
      </w:r>
      <w:r>
        <w:t xml:space="preserve"> </w:t>
      </w:r>
      <w:hyperlink r:id="rId277">
        <w:r>
          <w:rPr>
            <w:rStyle w:val="Hyperlink"/>
          </w:rPr>
          <w:t xml:space="preserve">https://doi.org/10.1029/97JC01911</w:t>
        </w:r>
      </w:hyperlink>
      <w:r>
        <w:t xml:space="preserve">.</w:t>
      </w:r>
    </w:p>
    <w:bookmarkEnd w:id="278"/>
    <w:bookmarkStart w:id="280"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79">
        <w:r>
          <w:rPr>
            <w:rStyle w:val="Hyperlink"/>
          </w:rPr>
          <w:t xml:space="preserve">https://doi.org/10.1109/LGRS.2017.2753580</w:t>
        </w:r>
      </w:hyperlink>
      <w:r>
        <w:t xml:space="preserve">.</w:t>
      </w:r>
    </w:p>
    <w:bookmarkEnd w:id="280"/>
    <w:bookmarkStart w:id="282"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81">
        <w:r>
          <w:rPr>
            <w:rStyle w:val="Hyperlink"/>
          </w:rPr>
          <w:t xml:space="preserve">https://doi.org/10.1109/TGRS.2010.2051333</w:t>
        </w:r>
      </w:hyperlink>
      <w:r>
        <w:t xml:space="preserve">.</w:t>
      </w:r>
    </w:p>
    <w:bookmarkEnd w:id="282"/>
    <w:bookmarkEnd w:id="283"/>
    <w:p>
      <w:r>
        <w:br w:type="page"/>
      </w:r>
    </w:p>
    <w:bookmarkEnd w:id="284"/>
    <w:bookmarkStart w:id="331" w:name="annexes"/>
    <w:p>
      <w:pPr>
        <w:pStyle w:val="berschrift2"/>
      </w:pPr>
      <w:r>
        <w:t xml:space="preserve">Annexes</w:t>
      </w:r>
    </w:p>
    <w:bookmarkStart w:id="286" w:name="sec:annex-sar-general-processing-roadmap"/>
    <w:p>
      <w:pPr>
        <w:pStyle w:val="berschrift3"/>
      </w:pPr>
      <w:r>
        <w:t xml:space="preserve">General Processing 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4"/>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4"/>
        </w:numPr>
      </w:pPr>
      <w:r>
        <w:t xml:space="preserve">Apply instrument calibration to produce Beta-Nought values with high fidelity.</w:t>
      </w:r>
    </w:p>
    <w:p>
      <w:pPr>
        <w:pStyle w:val="Compact"/>
        <w:numPr>
          <w:ilvl w:val="0"/>
          <w:numId w:val="1094"/>
        </w:numPr>
      </w:pPr>
      <w:r>
        <w:t xml:space="preserve">Convert Single-Look-Complex (SLC) radiometric channel(s) to intensity NRB, ORB and POL and in addition for POL, the cross-product element(s) of the covariance as shown in Section </w:t>
      </w:r>
      <w:r>
        <w:t xml:space="preserve">“</w:t>
      </w:r>
      <w:hyperlink w:anchor="sec:annex-sar-pol-covmat">
        <w:r>
          <w:rPr>
            <w:rStyle w:val="Hyperlink"/>
          </w:rPr>
          <w:t xml:space="preserve">Normalised Covariance Matrices (CovMat)</w:t>
        </w:r>
      </w:hyperlink>
      <w:r>
        <w:t xml:space="preserve">”</w:t>
      </w:r>
      <w:r>
        <w:t xml:space="preserve">.</w:t>
      </w:r>
    </w:p>
    <w:p>
      <w:pPr>
        <w:pStyle w:val="Compact"/>
        <w:numPr>
          <w:ilvl w:val="0"/>
          <w:numId w:val="1094"/>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4"/>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4"/>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Section </w:t>
      </w:r>
      <w:r>
        <w:t xml:space="preserve">“</w:t>
      </w:r>
      <w:hyperlink w:anchor="sec:annex-sar-topographic-phase-removal">
        <w:r>
          <w:rPr>
            <w:rStyle w:val="Hyperlink"/>
          </w:rPr>
          <w:t xml:space="preserve">Topographic phase removal</w:t>
        </w:r>
      </w:hyperlink>
      <w:r>
        <w:t xml:space="preserve">”</w:t>
      </w:r>
      <w:r>
        <w:t xml:space="preserve">)</w:t>
      </w:r>
    </w:p>
    <w:p>
      <w:pPr>
        <w:pStyle w:val="Compact"/>
        <w:numPr>
          <w:ilvl w:val="0"/>
          <w:numId w:val="1094"/>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4"/>
        </w:numPr>
      </w:pPr>
      <w:r>
        <w:t xml:space="preserve">Generate CEOS format metadata to accompany product layers.</w:t>
      </w:r>
    </w:p>
    <w:p>
      <w:pPr>
        <w:pStyle w:val="Compact"/>
        <w:numPr>
          <w:ilvl w:val="0"/>
          <w:numId w:val="1094"/>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85"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85"/>
    <w:bookmarkEnd w:id="286"/>
    <w:bookmarkStart w:id="298"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287"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287"/>
    </w:p>
    <w:p>
      <w:pPr>
        <w:pStyle w:val="FirstParagraph"/>
      </w:pPr>
      <w:r>
        <w:t xml:space="preserve">Where</w:t>
      </w:r>
    </w:p>
    <w:p>
      <w:pPr>
        <w:pStyle w:val="Textkrper"/>
      </w:pPr>
      <w:bookmarkStart w:id="288"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288"/>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095"/>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095"/>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(item 1.7.15) allows users to validate the InSAR feasibility in between CEOS-ARD products.</w:t>
      </w:r>
    </w:p>
    <w:p>
      <w:pPr>
        <w:pStyle w:val="Textkrper"/>
      </w:pPr>
      <w:bookmarkStart w:id="289"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289"/>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POL product, the Flattened phase needs also to be subtracted from the complex number phase of the off-diagonal elements of the covariance matrix.</w:t>
      </w:r>
    </w:p>
    <w:p>
      <w:pPr>
        <w:pStyle w:val="Textkrper"/>
      </w:pPr>
      <w:r>
        <w:t xml:space="preserve">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290"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290"/>
    </w:p>
    <w:p>
      <w:pPr>
        <w:pStyle w:val="FirstParagraph"/>
      </w:pPr>
      <w:bookmarkStart w:id="291"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291"/>
    </w:p>
    <w:p>
      <w:pPr>
        <w:pStyle w:val="FirstParagraph"/>
      </w:pPr>
      <w:r>
        <w:t xml:space="preserve">The differential phase is</w:t>
      </w:r>
    </w:p>
    <w:p>
      <w:pPr>
        <w:pStyle w:val="Textkrper"/>
      </w:pPr>
      <w:bookmarkStart w:id="292"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292"/>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293"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293"/>
    </w:p>
    <w:p>
      <w:pPr>
        <w:pStyle w:val="FirstParagraph"/>
      </w:pPr>
      <w:bookmarkStart w:id="294"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294"/>
    </w:p>
    <w:p>
      <w:pPr>
        <w:pStyle w:val="FirstParagraph"/>
      </w:pPr>
      <w:bookmarkStart w:id="295"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295"/>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 as Eq. </w:t>
      </w:r>
      <w:hyperlink w:anchor="eq:sar-topographic-phase-removal-eq1">
        <w:r>
          <w:rPr>
            <w:rStyle w:val="Hyperlink"/>
          </w:rPr>
          <w:t xml:space="preserve">1</w:t>
        </w:r>
      </w:hyperlink>
      <w:r>
        <w:t xml:space="preserve">, which gives</w:t>
      </w:r>
    </w:p>
    <w:p>
      <w:pPr>
        <w:pStyle w:val="Textkrper"/>
      </w:pPr>
      <w:bookmarkStart w:id="296"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296"/>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(item 2.15) and ionospheric (item 2.16) phase corrections could be performed during the production of CEOS-ARD products, which reduces the differential phase noise in an InSAR analysis.</w:t>
      </w:r>
    </w:p>
    <w:p>
      <w:pPr>
        <w:pStyle w:val="Textkrper"/>
      </w:pPr>
      <w:bookmarkStart w:id="297"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297"/>
    </w:p>
    <w:bookmarkEnd w:id="298"/>
    <w:bookmarkStart w:id="305" w:name="sec:annex-sar-pol-covmat"/>
    <w:p>
      <w:pPr>
        <w:pStyle w:val="berschrift3"/>
      </w:pPr>
      <w:r>
        <w:t xml:space="preserve">Normalised Covariance Matrices (CovMat)</w:t>
      </w:r>
    </w:p>
    <w:p>
      <w:pPr>
        <w:pStyle w:val="FirstParagraph"/>
      </w:pPr>
      <w:r>
        <w:t xml:space="preserve">In order to preserve the inter-channel polarimetric phase and thus the full information content of coherent dual-pol and fully polarimetric data, the covariance matrix is proposed as the data storage format. Covariance matrices are generated from the complex cross product of polarimetric channels, as shown in Eq. </w:t>
      </w:r>
      <w:hyperlink w:anchor="eq:sar-pol-covmat-eq1">
        <w:r>
          <w:rPr>
            <w:rStyle w:val="Hyperlink"/>
          </w:rPr>
          <w:t xml:space="preserve">12</w:t>
        </w:r>
      </w:hyperlink>
      <w:r>
        <w:t xml:space="preserve"> </w:t>
      </w:r>
      <w:r>
        <w:t xml:space="preserve">for fully polarimetric data (C3) and in Eq. </w:t>
      </w:r>
      <w:hyperlink w:anchor="eq:sar-pol-covmat-eq3">
        <w:r>
          <w:rPr>
            <w:rStyle w:val="Hyperlink"/>
          </w:rPr>
          <w:t xml:space="preserve">14</w:t>
        </w:r>
      </w:hyperlink>
      <w:r>
        <w:t xml:space="preserve"> </w:t>
      </w:r>
      <w:r>
        <w:t xml:space="preserve">for dual polarization data (C2). Since these matrices are complex symmetrical, only the upper diagonal elements (bold elements) need to be stored in the ARD database.</w:t>
      </w:r>
    </w:p>
    <w:p>
      <w:pPr>
        <w:pStyle w:val="Textkrper"/>
      </w:pPr>
      <w:r>
        <w:rPr>
          <w:b/>
          <w:bCs/>
        </w:rPr>
        <w:t xml:space="preserve">Fully polarimetric</w:t>
      </w:r>
    </w:p>
    <w:p>
      <w:pPr>
        <w:pStyle w:val="Textkrper"/>
      </w:pPr>
      <w:bookmarkStart w:id="299" w:name="eq:sar-pol-covmat-eq1"/>
      <m:oMathPara>
        <m:oMathParaPr>
          <m:jc m:val="center"/>
        </m:oMathParaPr>
        <m:oMath>
          <m:r>
            <m:t>C</m:t>
          </m:r>
          <m:r>
            <m:t>3</m:t>
          </m:r>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ad>
                      <m:radPr>
                        <m:degHide m:val="on"/>
                      </m:radPr>
                      <m:deg/>
                      <m:e>
                        <m:r>
                          <m:t>2</m:t>
                        </m:r>
                      </m:e>
                    </m:rad>
                    <m:r>
                      <m:rPr>
                        <m:sty m:val="p"/>
                      </m:rPr>
                      <m:t>⋅</m:t>
                    </m:r>
                    <m:r>
                      <m:rPr>
                        <m:sty m:val="b"/>
                      </m:rPr>
                      <m:t>H</m:t>
                    </m:r>
                    <m:r>
                      <m:rPr>
                        <m:sty m:val="b"/>
                      </m:rPr>
                      <m:t>H</m:t>
                    </m:r>
                    <m:r>
                      <m:rPr>
                        <m:sty m:val="p"/>
                      </m:rPr>
                      <m:t>⋅</m:t>
                    </m:r>
                    <m:r>
                      <m:rPr>
                        <m:sty m:val="b"/>
                      </m:rPr>
                      <m:t>H</m:t>
                    </m:r>
                    <m:sSup>
                      <m:e>
                        <m:r>
                          <m:rPr>
                            <m:sty m:val="b"/>
                          </m:rPr>
                          <m:t>V</m:t>
                        </m:r>
                      </m:e>
                      <m:sup>
                        <m:r>
                          <m:rPr>
                            <m:sty m:val="p"/>
                          </m:rPr>
                          <m:t>*</m:t>
                        </m:r>
                      </m:sup>
                    </m:sSup>
                  </m:e>
                  <m:e>
                    <m:r>
                      <m:rPr>
                        <m:sty m:val="b"/>
                      </m:rPr>
                      <m:t>H</m:t>
                    </m:r>
                    <m:r>
                      <m:rPr>
                        <m:sty m:val="b"/>
                      </m:rPr>
                      <m:t>H</m:t>
                    </m:r>
                    <m:r>
                      <m:rPr>
                        <m:sty m:val="p"/>
                      </m:rPr>
                      <m:t>⋅</m:t>
                    </m:r>
                    <m:r>
                      <m:rPr>
                        <m:sty m:val="b"/>
                      </m:rPr>
                      <m:t>V</m:t>
                    </m:r>
                    <m:sSup>
                      <m:e>
                        <m:r>
                          <m:rPr>
                            <m:sty m:val="b"/>
                          </m:rPr>
                          <m:t>V</m:t>
                        </m:r>
                      </m:e>
                      <m:sup>
                        <m:r>
                          <m:rPr>
                            <m:sty m:val="p"/>
                          </m:rPr>
                          <m:t>*</m:t>
                        </m:r>
                      </m:sup>
                    </m:sSup>
                  </m:e>
                </m:mr>
                <m:mr>
                  <m:e>
                    <m:rad>
                      <m:radPr>
                        <m:degHide m:val="on"/>
                      </m:radPr>
                      <m:deg/>
                      <m:e>
                        <m:r>
                          <m:t>2</m:t>
                        </m:r>
                      </m:e>
                    </m:rad>
                    <m:r>
                      <m:rPr>
                        <m:sty m:val="p"/>
                      </m:rPr>
                      <m:t>⋅</m:t>
                    </m:r>
                    <m:r>
                      <m:t>H</m:t>
                    </m:r>
                    <m:r>
                      <m:t>V</m:t>
                    </m:r>
                    <m:r>
                      <m:rPr>
                        <m:sty m:val="p"/>
                      </m:rPr>
                      <m:t>⋅</m:t>
                    </m:r>
                    <m:r>
                      <m:t>H</m:t>
                    </m:r>
                    <m:sSup>
                      <m:e>
                        <m:r>
                          <m:t>H</m:t>
                        </m:r>
                      </m:e>
                      <m:sup>
                        <m:r>
                          <m:rPr>
                            <m:sty m:val="p"/>
                          </m:rPr>
                          <m:t>*</m:t>
                        </m:r>
                      </m:sup>
                    </m:sSup>
                  </m:e>
                  <m:e>
                    <m:r>
                      <m:t>2</m:t>
                    </m:r>
                    <m:r>
                      <m:rPr>
                        <m:sty m:val="p"/>
                      </m:rPr>
                      <m:t>⋅</m:t>
                    </m:r>
                    <m:r>
                      <m:rPr>
                        <m:sty m:val="p"/>
                      </m:rPr>
                      <m:t>|</m:t>
                    </m:r>
                    <m:r>
                      <m:rPr>
                        <m:sty m:val="b"/>
                      </m:rPr>
                      <m:t>H</m:t>
                    </m:r>
                    <m:r>
                      <m:rPr>
                        <m:sty m:val="b"/>
                      </m:rPr>
                      <m:t>V</m:t>
                    </m:r>
                    <m:sSup>
                      <m:e>
                        <m:r>
                          <m:rPr>
                            <m:sty m:val="p"/>
                          </m:rPr>
                          <m:t>|</m:t>
                        </m:r>
                      </m:e>
                      <m:sup>
                        <m:r>
                          <m:t>2</m:t>
                        </m:r>
                      </m:sup>
                    </m:sSup>
                  </m:e>
                  <m:e>
                    <m:rad>
                      <m:radPr>
                        <m:degHide m:val="on"/>
                      </m:radPr>
                      <m:deg/>
                      <m:e>
                        <m:r>
                          <m:t>2</m:t>
                        </m:r>
                      </m:e>
                    </m:rad>
                    <m:r>
                      <m:rPr>
                        <m:sty m:val="p"/>
                      </m:rPr>
                      <m:t>⋅</m:t>
                    </m:r>
                    <m:r>
                      <m:rPr>
                        <m:sty m:val="b"/>
                      </m:rPr>
                      <m:t>H</m:t>
                    </m:r>
                    <m:r>
                      <m:rPr>
                        <m:sty m:val="b"/>
                      </m:rPr>
                      <m:t>V</m:t>
                    </m:r>
                    <m:r>
                      <m:rPr>
                        <m:sty m:val="p"/>
                      </m:rPr>
                      <m:t>⋅</m:t>
                    </m:r>
                    <m:r>
                      <m:rPr>
                        <m:sty m:val="b"/>
                      </m:rPr>
                      <m:t>H</m:t>
                    </m:r>
                    <m:sSup>
                      <m:e>
                        <m:r>
                          <m:rPr>
                            <m:sty m:val="b"/>
                          </m:rPr>
                          <m:t>V</m:t>
                        </m:r>
                      </m:e>
                      <m:sup>
                        <m:r>
                          <m:rPr>
                            <m:sty m:val="p"/>
                          </m:rPr>
                          <m:t>*</m:t>
                        </m:r>
                      </m:sup>
                    </m:sSup>
                  </m:e>
                </m:mr>
                <m:mr>
                  <m:e>
                    <m:r>
                      <m:t>V</m:t>
                    </m:r>
                    <m:r>
                      <m:t>V</m:t>
                    </m:r>
                    <m:r>
                      <m:rPr>
                        <m:sty m:val="p"/>
                      </m:rPr>
                      <m:t>⋅</m:t>
                    </m:r>
                    <m:r>
                      <m:t>H</m:t>
                    </m:r>
                    <m:sSup>
                      <m:e>
                        <m:r>
                          <m:t>H</m:t>
                        </m:r>
                      </m:e>
                      <m:sup>
                        <m:r>
                          <m:rPr>
                            <m:sty m:val="p"/>
                          </m:rPr>
                          <m:t>*</m:t>
                        </m:r>
                      </m:sup>
                    </m:sSup>
                  </m:e>
                  <m:e>
                    <m:rad>
                      <m:radPr>
                        <m:degHide m:val="on"/>
                      </m:radPr>
                      <m:deg/>
                      <m:e>
                        <m:r>
                          <m:t>2</m:t>
                        </m:r>
                      </m:e>
                    </m:rad>
                    <m:r>
                      <m:rPr>
                        <m:sty m:val="p"/>
                      </m:rPr>
                      <m:t>⋅</m:t>
                    </m:r>
                    <m:r>
                      <m:t>V</m:t>
                    </m:r>
                    <m:r>
                      <m:t>V</m:t>
                    </m:r>
                    <m:r>
                      <m:rPr>
                        <m:sty m:val="p"/>
                      </m:rPr>
                      <m:t>⋅</m:t>
                    </m:r>
                    <m:r>
                      <m:t>H</m:t>
                    </m:r>
                    <m:sSup>
                      <m:e>
                        <m:r>
                          <m:t>V</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12</m:t>
          </m:r>
          <m:r>
            <m:rPr>
              <m:sty m:val="p"/>
            </m:rPr>
            <m:t>)</m:t>
          </m:r>
        </m:oMath>
      </m:oMathPara>
      <w:bookmarkEnd w:id="299"/>
    </w:p>
    <w:p>
      <w:pPr>
        <w:pStyle w:val="FirstParagraph"/>
      </w:pPr>
      <w:r>
        <w:t xml:space="preserve">Where HV = VH, under the reciprocity assumption. | | and * mean respectively complex modulus and the complex conjugate.</w:t>
      </w:r>
    </w:p>
    <w:p>
      <w:pPr>
        <w:pStyle w:val="Textkrper"/>
      </w:pPr>
      <w:r>
        <w:rPr>
          <w:b/>
          <w:bCs/>
        </w:rPr>
        <w:t xml:space="preserve">Dual polarization</w:t>
      </w:r>
    </w:p>
    <w:p>
      <w:pPr>
        <w:pStyle w:val="Textkrper"/>
      </w:pPr>
      <w:bookmarkStart w:id="300" w:name="eq:sar-pol-covmat-eq2"/>
      <m:oMathPara>
        <m:oMathParaPr>
          <m:jc m:val="center"/>
        </m:oMathParaPr>
        <m:oMath>
          <m:r>
            <m:rPr>
              <m:nor/>
              <m:sty m:val="p"/>
            </m:rPr>
            <m:t>HH-HV: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H</m:t>
                    </m:r>
                    <m:r>
                      <m:rPr>
                        <m:sty m:val="b"/>
                      </m:rPr>
                      <m:t>H</m:t>
                    </m:r>
                    <m:sSup>
                      <m:e>
                        <m:r>
                          <m:rPr>
                            <m:sty m:val="p"/>
                          </m:rPr>
                          <m:t>|</m:t>
                        </m:r>
                      </m:e>
                      <m:sup>
                        <m:r>
                          <m:t>2</m:t>
                        </m:r>
                      </m:sup>
                    </m:sSup>
                  </m:e>
                  <m:e>
                    <m:r>
                      <m:rPr>
                        <m:sty m:val="b"/>
                      </m:rPr>
                      <m:t>H</m:t>
                    </m:r>
                    <m:r>
                      <m:rPr>
                        <m:sty m:val="b"/>
                      </m:rPr>
                      <m:t>H</m:t>
                    </m:r>
                    <m:r>
                      <m:rPr>
                        <m:sty m:val="p"/>
                      </m:rPr>
                      <m:t>⋅</m:t>
                    </m:r>
                    <m:r>
                      <m:rPr>
                        <m:sty m:val="b"/>
                      </m:rPr>
                      <m:t>H</m:t>
                    </m:r>
                    <m:sSup>
                      <m:e>
                        <m:r>
                          <m:rPr>
                            <m:sty m:val="b"/>
                          </m:rPr>
                          <m:t>V</m:t>
                        </m:r>
                      </m:e>
                      <m:sup>
                        <m:r>
                          <m:rPr>
                            <m:sty m:val="p"/>
                          </m:rPr>
                          <m:t>*</m:t>
                        </m:r>
                      </m:sup>
                    </m:sSup>
                  </m:e>
                </m:mr>
                <m:mr>
                  <m:e>
                    <m:r>
                      <m:t>H</m:t>
                    </m:r>
                    <m:r>
                      <m:t>V</m:t>
                    </m:r>
                    <m:r>
                      <m:rPr>
                        <m:sty m:val="p"/>
                      </m:rPr>
                      <m:t>⋅</m:t>
                    </m:r>
                    <m:r>
                      <m:t>H</m:t>
                    </m:r>
                    <m:sSup>
                      <m:e>
                        <m:r>
                          <m:t>H</m:t>
                        </m:r>
                      </m:e>
                      <m:sup>
                        <m:r>
                          <m:rPr>
                            <m:sty m:val="p"/>
                          </m:rPr>
                          <m:t>*</m:t>
                        </m:r>
                      </m:sup>
                    </m:sSup>
                  </m:e>
                  <m:e>
                    <m:r>
                      <m:rPr>
                        <m:sty m:val="p"/>
                      </m:rPr>
                      <m:t>|</m:t>
                    </m:r>
                    <m:r>
                      <m:rPr>
                        <m:sty m:val="b"/>
                      </m:rPr>
                      <m:t>H</m:t>
                    </m:r>
                    <m:r>
                      <m:rPr>
                        <m:sty m:val="b"/>
                      </m:rPr>
                      <m:t>V</m:t>
                    </m:r>
                    <m:sSup>
                      <m:e>
                        <m:r>
                          <m:rPr>
                            <m:sty m:val="p"/>
                          </m:rPr>
                          <m:t>|</m:t>
                        </m:r>
                      </m:e>
                      <m:sup>
                        <m:r>
                          <m:t>2</m:t>
                        </m:r>
                      </m:sup>
                    </m:sSup>
                  </m:e>
                </m:mr>
              </m:m>
            </m:e>
          </m:d>
          <m:r>
            <m:t>  </m:t>
          </m:r>
          <m:r>
            <m:rPr>
              <m:sty m:val="p"/>
            </m:rPr>
            <m:t>(</m:t>
          </m:r>
          <m:r>
            <m:t>13</m:t>
          </m:r>
          <m:r>
            <m:rPr>
              <m:sty m:val="p"/>
            </m:rPr>
            <m:t>)</m:t>
          </m:r>
        </m:oMath>
      </m:oMathPara>
      <w:bookmarkEnd w:id="300"/>
    </w:p>
    <w:p>
      <w:pPr>
        <w:pStyle w:val="FirstParagraph"/>
      </w:pPr>
      <w:bookmarkStart w:id="301" w:name="eq:sar-pol-covmat-eq3"/>
      <m:oMathPara>
        <m:oMathParaPr>
          <m:jc m:val="center"/>
        </m:oMathParaPr>
        <m:oMath>
          <m:r>
            <m:rPr>
              <m:nor/>
              <m:sty m:val="p"/>
            </m:rPr>
            <m:t>VV-VH:</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V</m:t>
                    </m:r>
                    <m:r>
                      <m:rPr>
                        <m:sty m:val="b"/>
                      </m:rPr>
                      <m:t>H</m:t>
                    </m:r>
                    <m:sSup>
                      <m:e>
                        <m:r>
                          <m:rPr>
                            <m:sty m:val="p"/>
                          </m:rPr>
                          <m:t>|</m:t>
                        </m:r>
                      </m:e>
                      <m:sup>
                        <m:r>
                          <m:t>2</m:t>
                        </m:r>
                      </m:sup>
                    </m:sSup>
                  </m:e>
                  <m:e>
                    <m:r>
                      <m:rPr>
                        <m:sty m:val="b"/>
                      </m:rPr>
                      <m:t>V</m:t>
                    </m:r>
                    <m:r>
                      <m:rPr>
                        <m:sty m:val="b"/>
                      </m:rPr>
                      <m:t>H</m:t>
                    </m:r>
                    <m:r>
                      <m:rPr>
                        <m:sty m:val="p"/>
                      </m:rPr>
                      <m:t>⋅</m:t>
                    </m:r>
                    <m:r>
                      <m:rPr>
                        <m:sty m:val="b"/>
                      </m:rPr>
                      <m:t>V</m:t>
                    </m:r>
                    <m:sSup>
                      <m:e>
                        <m:r>
                          <m:rPr>
                            <m:sty m:val="b"/>
                          </m:rPr>
                          <m:t>H</m:t>
                        </m:r>
                      </m:e>
                      <m:sup>
                        <m:r>
                          <m:rPr>
                            <m:sty m:val="p"/>
                          </m:rPr>
                          <m:t>*</m:t>
                        </m:r>
                      </m:sup>
                    </m:sSup>
                  </m:e>
                </m:mr>
                <m:mr>
                  <m:e>
                    <m:r>
                      <m:t>V</m:t>
                    </m:r>
                    <m:r>
                      <m:t>H</m:t>
                    </m:r>
                    <m:r>
                      <m:rPr>
                        <m:sty m:val="p"/>
                      </m:rPr>
                      <m:t>⋅</m:t>
                    </m:r>
                    <m:r>
                      <m:t>V</m:t>
                    </m:r>
                    <m:sSup>
                      <m:e>
                        <m:r>
                          <m:t>H</m:t>
                        </m:r>
                      </m:e>
                      <m:sup>
                        <m:r>
                          <m:rPr>
                            <m:sty m:val="p"/>
                          </m:rPr>
                          <m:t>*</m:t>
                        </m:r>
                      </m:sup>
                    </m:sSup>
                  </m:e>
                  <m:e>
                    <m:r>
                      <m:rPr>
                        <m:sty m:val="p"/>
                      </m:rPr>
                      <m:t>|</m:t>
                    </m:r>
                    <m:r>
                      <m:rPr>
                        <m:sty m:val="b"/>
                      </m:rPr>
                      <m:t>V</m:t>
                    </m:r>
                    <m:r>
                      <m:rPr>
                        <m:sty m:val="b"/>
                      </m:rPr>
                      <m:t>V</m:t>
                    </m:r>
                    <m:sSup>
                      <m:e>
                        <m:r>
                          <m:rPr>
                            <m:sty m:val="p"/>
                          </m:rPr>
                          <m:t>|</m:t>
                        </m:r>
                      </m:e>
                      <m:sup>
                        <m:r>
                          <m:t>2</m:t>
                        </m:r>
                      </m:sup>
                    </m:sSup>
                  </m:e>
                </m:mr>
              </m:m>
            </m:e>
          </m:d>
          <m:r>
            <m:t>  </m:t>
          </m:r>
          <m:r>
            <m:rPr>
              <m:sty m:val="p"/>
            </m:rPr>
            <m:t>(</m:t>
          </m:r>
          <m:r>
            <m:t>14</m:t>
          </m:r>
          <m:r>
            <m:rPr>
              <m:sty m:val="p"/>
            </m:rPr>
            <m:t>)</m:t>
          </m:r>
        </m:oMath>
      </m:oMathPara>
      <w:bookmarkEnd w:id="301"/>
    </w:p>
    <w:p>
      <w:pPr>
        <w:pStyle w:val="FirstParagraph"/>
      </w:pPr>
      <w:bookmarkStart w:id="302" w:name="eq:eq:sar-pol-covmat-eq4"/>
      <m:oMathPara>
        <m:oMathParaPr>
          <m:jc m:val="center"/>
        </m:oMathParaPr>
        <m:oMath>
          <m:r>
            <m:rPr>
              <m:nor/>
              <m:sty m:val="p"/>
            </m:rPr>
            <m:t>CH-CV:</m:t>
          </m:r>
          <m:r>
            <m:t> </m:t>
          </m:r>
          <m:r>
            <m:t>C</m:t>
          </m:r>
          <m:r>
            <m:t>2</m:t>
          </m:r>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b"/>
                      </m:rPr>
                      <m:t>C</m:t>
                    </m:r>
                    <m:r>
                      <m:rPr>
                        <m:sty m:val="b"/>
                      </m:rPr>
                      <m:t>H</m:t>
                    </m:r>
                    <m:sSup>
                      <m:e>
                        <m:r>
                          <m:rPr>
                            <m:sty m:val="p"/>
                          </m:rPr>
                          <m:t>|</m:t>
                        </m:r>
                      </m:e>
                      <m:sup>
                        <m:r>
                          <m:t>2</m:t>
                        </m:r>
                      </m:sup>
                    </m:sSup>
                  </m:e>
                  <m:e>
                    <m:r>
                      <m:rPr>
                        <m:sty m:val="b"/>
                      </m:rPr>
                      <m:t>C</m:t>
                    </m:r>
                    <m:r>
                      <m:rPr>
                        <m:sty m:val="b"/>
                      </m:rPr>
                      <m:t>H</m:t>
                    </m:r>
                    <m:r>
                      <m:rPr>
                        <m:sty m:val="p"/>
                      </m:rPr>
                      <m:t>⋅</m:t>
                    </m:r>
                    <m:r>
                      <m:rPr>
                        <m:sty m:val="b"/>
                      </m:rPr>
                      <m:t>C</m:t>
                    </m:r>
                    <m:sSup>
                      <m:e>
                        <m:r>
                          <m:rPr>
                            <m:sty m:val="b"/>
                          </m:rPr>
                          <m:t>V</m:t>
                        </m:r>
                      </m:e>
                      <m:sup>
                        <m:r>
                          <m:rPr>
                            <m:sty m:val="p"/>
                          </m:rPr>
                          <m:t>*</m:t>
                        </m:r>
                      </m:sup>
                    </m:sSup>
                  </m:e>
                </m:mr>
                <m:mr>
                  <m:e>
                    <m:r>
                      <m:t>C</m:t>
                    </m:r>
                    <m:r>
                      <m:t>V</m:t>
                    </m:r>
                    <m:r>
                      <m:rPr>
                        <m:sty m:val="p"/>
                      </m:rPr>
                      <m:t>⋅</m:t>
                    </m:r>
                    <m:r>
                      <m:t>C</m:t>
                    </m:r>
                    <m:sSup>
                      <m:e>
                        <m:r>
                          <m:t>H</m:t>
                        </m:r>
                      </m:e>
                      <m:sup>
                        <m:r>
                          <m:rPr>
                            <m:sty m:val="p"/>
                          </m:rPr>
                          <m:t>*</m:t>
                        </m:r>
                      </m:sup>
                    </m:sSup>
                  </m:e>
                  <m:e>
                    <m:r>
                      <m:rPr>
                        <m:sty m:val="p"/>
                      </m:rPr>
                      <m:t>|</m:t>
                    </m:r>
                    <m:r>
                      <m:rPr>
                        <m:sty m:val="b"/>
                      </m:rPr>
                      <m:t>C</m:t>
                    </m:r>
                    <m:r>
                      <m:rPr>
                        <m:sty m:val="b"/>
                      </m:rPr>
                      <m:t>V</m:t>
                    </m:r>
                    <m:sSup>
                      <m:e>
                        <m:r>
                          <m:rPr>
                            <m:sty m:val="p"/>
                          </m:rPr>
                          <m:t>|</m:t>
                        </m:r>
                      </m:e>
                      <m:sup>
                        <m:r>
                          <m:t>2</m:t>
                        </m:r>
                      </m:sup>
                    </m:sSup>
                  </m:e>
                </m:mr>
              </m:m>
            </m:e>
          </m:d>
          <m:r>
            <m:t>  </m:t>
          </m:r>
          <m:r>
            <m:rPr>
              <m:sty m:val="p"/>
            </m:rPr>
            <m:t>(</m:t>
          </m:r>
          <m:r>
            <m:t>15</m:t>
          </m:r>
          <m:r>
            <m:rPr>
              <m:sty m:val="p"/>
            </m:rPr>
            <m:t>)</m:t>
          </m:r>
        </m:oMath>
      </m:oMathPara>
      <w:bookmarkEnd w:id="302"/>
    </w:p>
    <w:p>
      <w:pPr>
        <w:pStyle w:val="FirstParagraph"/>
      </w:pPr>
      <w:r>
        <w:t xml:space="preserve">Where CH and CV refer to dual polarization transmitting a circular polarized signal. [CH, CV] can be replaced by [LH, LV] or [RH, RV] for left (L) or right (R) hand circular transmission respectively, although RCM will offer only right-hand circular transmission. The coherent HH-VV configuration available on TerraSAR-X could also be represented as C2 format.</w:t>
      </w:r>
    </w:p>
    <w:p>
      <w:pPr>
        <w:pStyle w:val="Textkrper"/>
      </w:pPr>
      <w:r>
        <w:t xml:space="preserve">Polarimetric decomposition methods like</w:t>
      </w:r>
      <w:r>
        <w:t xml:space="preserve"> </w:t>
      </w:r>
      <w:r>
        <w:t xml:space="preserve">(</w:t>
      </w:r>
      <w:hyperlink w:anchor="ref-yamaguchi2011">
        <w:r>
          <w:rPr>
            <w:rStyle w:val="Hyperlink"/>
          </w:rPr>
          <w:t xml:space="preserve">Yamaguchi et al. 2011</w:t>
        </w:r>
      </w:hyperlink>
      <w:r>
        <w:t xml:space="preserve">)</w:t>
      </w:r>
      <w:r>
        <w:t xml:space="preserve"> </w:t>
      </w:r>
      <w:r>
        <w:t xml:space="preserve">for fully polarimetric, or m-chi</w:t>
      </w:r>
      <w:r>
        <w:t xml:space="preserve"> </w:t>
      </w:r>
      <w:r>
        <w:t xml:space="preserve">(</w:t>
      </w:r>
      <w:hyperlink w:anchor="ref-raney2012">
        <w:r>
          <w:rPr>
            <w:rStyle w:val="Hyperlink"/>
          </w:rPr>
          <w:t xml:space="preserve">Raney et al. 2012</w:t>
        </w:r>
      </w:hyperlink>
      <w:r>
        <w:t xml:space="preserve">)</w:t>
      </w:r>
      <w:r>
        <w:t xml:space="preserve"> </w:t>
      </w:r>
      <w:r>
        <w:t xml:space="preserve">for compact polarimetric data, can be applied directly on averaged (speckle filtered) C3 and C2 matrices respectively. These decompositions enhance scattering information, bring it to a more comprehensible level to end-users, and raise the performance of thematic classification methodologies. For SAR products that were acquired with single polarization the use of the covariance matrix does not result in superfluous storage requirements, since only the matrix elements that are populated are retained and the diagonal matrix elements are the backscatter intensities. Thus, a single channel intensity product would yield only one matrix element and the storage needs would not change.</w:t>
      </w:r>
    </w:p>
    <w:p>
      <w:pPr>
        <w:pStyle w:val="Textkrper"/>
      </w:pPr>
      <w:r>
        <w:t xml:space="preserve">In order to ease the data structure and the metadata in between C3 and C2, Eq. </w:t>
      </w:r>
      <w:hyperlink w:anchor="eq:sar-pol-covmat-eq1">
        <w:r>
          <w:rPr>
            <w:rStyle w:val="Hyperlink"/>
          </w:rPr>
          <w:t xml:space="preserve">12</w:t>
        </w:r>
      </w:hyperlink>
      <w:r>
        <w:t xml:space="preserve"> </w:t>
      </w:r>
      <w:r>
        <w:t xml:space="preserve">should be redefined as Eq. </w:t>
      </w:r>
      <w:hyperlink w:anchor="eq:sar-pol-covmat-eq5">
        <w:r>
          <w:rPr>
            <w:rStyle w:val="Hyperlink"/>
          </w:rPr>
          <w:t xml:space="preserve">16</w:t>
        </w:r>
      </w:hyperlink>
      <w:r>
        <w:t xml:space="preserve">. Users will have to take care of this non-standard representation when applying their polarimetric analytic tools. “&lt; &gt;” means that ARD matrix elements are speckle filtered. Eq. </w:t>
      </w:r>
      <w:hyperlink w:anchor="eq:sar-pol-covmat-eq5">
        <w:r>
          <w:rPr>
            <w:rStyle w:val="Hyperlink"/>
          </w:rPr>
          <w:t xml:space="preserve">16</w:t>
        </w:r>
      </w:hyperlink>
      <w:r>
        <w:t xml:space="preserve"> </w:t>
      </w:r>
      <w:r>
        <w:t xml:space="preserve">is valid both for dual-linear and quad polarization.</w:t>
      </w:r>
    </w:p>
    <w:p>
      <w:pPr>
        <w:pStyle w:val="Textkrper"/>
      </w:pPr>
      <w:bookmarkStart w:id="303" w:name="eq:sar-pol-covmat-eq5"/>
      <m:oMathPara>
        <m:oMathParaPr>
          <m:jc m:val="center"/>
        </m:oMathParaPr>
        <m:oMath>
          <m:r>
            <m:rPr>
              <m:nor/>
              <m:sty m:val="p"/>
            </m:rPr>
            <m:t>C3 modified:</m:t>
          </m:r>
          <m:r>
            <m:t> </m:t>
          </m:r>
          <m:r>
            <m:t>C</m:t>
          </m:r>
          <m:sSub>
            <m:e>
              <m:r>
                <m:t>3</m:t>
              </m:r>
            </m:e>
            <m:sub>
              <m:r>
                <m:t>m</m:t>
              </m:r>
            </m:sub>
          </m:sSub>
          <m:r>
            <m:rPr>
              <m:sty m:val="p"/>
            </m:rPr>
            <m:t>=</m:t>
          </m:r>
          <m:d>
            <m:dPr>
              <m:begChr m:val="["/>
              <m:sepChr m:val=""/>
              <m:endChr m:val="]"/>
              <m:grow/>
            </m:dPr>
            <m:e>
              <m:m>
                <m:mPr>
                  <m:baseJc m:val="center"/>
                  <m:plcHide m:val="on"/>
                  <m:mcs>
                    <m:mc>
                      <m:mcPr>
                        <m:mcJc m:val="center"/>
                        <m:count m:val="1"/>
                      </m:mcPr>
                    </m:mc>
                    <m:mc>
                      <m:mcPr>
                        <m:mcJc m:val="center"/>
                        <m:count m:val="1"/>
                      </m:mcPr>
                    </m:mc>
                    <m:mc>
                      <m:mcPr>
                        <m:mcJc m:val="center"/>
                        <m:count m:val="1"/>
                      </m:mcPr>
                    </m:mc>
                  </m:mcs>
                </m:mPr>
                <m:mr>
                  <m:e>
                    <m:r>
                      <m:rPr>
                        <m:sty m:val="p"/>
                      </m:rPr>
                      <m:t>|</m:t>
                    </m:r>
                    <m:r>
                      <m:rPr>
                        <m:sty m:val="p"/>
                      </m:rPr>
                      <m:t>⟨</m:t>
                    </m:r>
                    <m:r>
                      <m:rPr>
                        <m:sty m:val="b"/>
                      </m:rPr>
                      <m:t>H</m:t>
                    </m:r>
                    <m:r>
                      <m:rPr>
                        <m:sty m:val="b"/>
                      </m:rPr>
                      <m:t>H</m:t>
                    </m:r>
                    <m:sSup>
                      <m:e>
                        <m:r>
                          <m:rPr>
                            <m:sty m:val="p"/>
                          </m:rPr>
                          <m:t>|</m:t>
                        </m:r>
                      </m:e>
                      <m:sup>
                        <m:r>
                          <m:t>2</m:t>
                        </m:r>
                      </m:sup>
                    </m:sSup>
                    <m:r>
                      <m:rPr>
                        <m:sty m:val="p"/>
                      </m:rPr>
                      <m:t>⟩</m:t>
                    </m:r>
                  </m:e>
                  <m:e>
                    <m:r>
                      <m:rPr>
                        <m:sty m:val="p"/>
                      </m:rPr>
                      <m:t>⟨</m:t>
                    </m:r>
                    <m:r>
                      <m:rPr>
                        <m:sty m:val="b"/>
                      </m:rPr>
                      <m:t>H</m:t>
                    </m:r>
                    <m:r>
                      <m:rPr>
                        <m:sty m:val="b"/>
                      </m:rPr>
                      <m:t>H</m:t>
                    </m:r>
                    <m:r>
                      <m:rPr>
                        <m:sty m:val="p"/>
                      </m:rPr>
                      <m:t>⋅</m:t>
                    </m:r>
                    <m:r>
                      <m:rPr>
                        <m:sty m:val="b"/>
                      </m:rPr>
                      <m:t>H</m:t>
                    </m:r>
                    <m:sSup>
                      <m:e>
                        <m:r>
                          <m:rPr>
                            <m:sty m:val="b"/>
                          </m:rPr>
                          <m:t>V</m:t>
                        </m:r>
                      </m:e>
                      <m:sup>
                        <m:r>
                          <m:rPr>
                            <m:sty m:val="p"/>
                          </m:rPr>
                          <m:t>*</m:t>
                        </m:r>
                      </m:sup>
                    </m:sSup>
                    <m:r>
                      <m:rPr>
                        <m:sty m:val="p"/>
                      </m:rPr>
                      <m:t>⟩</m:t>
                    </m:r>
                  </m:e>
                  <m:e>
                    <m:r>
                      <m:rPr>
                        <m:sty m:val="p"/>
                      </m:rPr>
                      <m:t>⟨</m:t>
                    </m:r>
                    <m:r>
                      <m:rPr>
                        <m:sty m:val="b"/>
                      </m:rPr>
                      <m:t>H</m:t>
                    </m:r>
                    <m:r>
                      <m:rPr>
                        <m:sty m:val="b"/>
                      </m:rPr>
                      <m:t>H</m:t>
                    </m:r>
                    <m:r>
                      <m:rPr>
                        <m:sty m:val="p"/>
                      </m:rPr>
                      <m:t>⋅</m:t>
                    </m:r>
                    <m:r>
                      <m:rPr>
                        <m:sty m:val="b"/>
                      </m:rPr>
                      <m:t>V</m:t>
                    </m:r>
                    <m:sSup>
                      <m:e>
                        <m:r>
                          <m:rPr>
                            <m:sty m:val="b"/>
                          </m:rPr>
                          <m:t>V</m:t>
                        </m:r>
                      </m:e>
                      <m:sup>
                        <m:r>
                          <m:rPr>
                            <m:sty m:val="p"/>
                          </m:rPr>
                          <m:t>*</m:t>
                        </m:r>
                      </m:sup>
                    </m:sSup>
                    <m:r>
                      <m:rPr>
                        <m:sty m:val="p"/>
                      </m:rPr>
                      <m:t>⟩</m:t>
                    </m:r>
                  </m:e>
                </m:mr>
                <m:mr>
                  <m:e>
                    <m:r>
                      <m:rPr>
                        <m:sty m:val="p"/>
                      </m:rPr>
                      <m:t>⟨</m:t>
                    </m:r>
                    <m:r>
                      <m:t>H</m:t>
                    </m:r>
                    <m:r>
                      <m:t>V</m:t>
                    </m:r>
                    <m:r>
                      <m:rPr>
                        <m:sty m:val="p"/>
                      </m:rPr>
                      <m:t>⋅</m:t>
                    </m:r>
                    <m:r>
                      <m:t>H</m:t>
                    </m:r>
                    <m:sSup>
                      <m:e>
                        <m:r>
                          <m:t>H</m:t>
                        </m:r>
                      </m:e>
                      <m:sup>
                        <m:r>
                          <m:rPr>
                            <m:sty m:val="p"/>
                          </m:rPr>
                          <m:t>*</m:t>
                        </m:r>
                      </m:sup>
                    </m:sSup>
                    <m:r>
                      <m:rPr>
                        <m:sty m:val="p"/>
                      </m:rPr>
                      <m:t>⟩</m:t>
                    </m:r>
                  </m:e>
                  <m:e>
                    <m:r>
                      <m:rPr>
                        <m:sty m:val="p"/>
                      </m:rPr>
                      <m:t>⟨</m:t>
                    </m:r>
                    <m:r>
                      <m:rPr>
                        <m:sty m:val="p"/>
                      </m:rPr>
                      <m:t>|</m:t>
                    </m:r>
                    <m:r>
                      <m:rPr>
                        <m:sty m:val="b"/>
                      </m:rPr>
                      <m:t>H</m:t>
                    </m:r>
                    <m:r>
                      <m:rPr>
                        <m:sty m:val="b"/>
                      </m:rPr>
                      <m:t>V</m:t>
                    </m:r>
                    <m:sSup>
                      <m:e>
                        <m:r>
                          <m:rPr>
                            <m:sty m:val="p"/>
                          </m:rPr>
                          <m:t>|</m:t>
                        </m:r>
                      </m:e>
                      <m:sup>
                        <m:r>
                          <m:t>2</m:t>
                        </m:r>
                      </m:sup>
                    </m:sSup>
                    <m:r>
                      <m:rPr>
                        <m:sty m:val="p"/>
                      </m:rPr>
                      <m:t>⟩</m:t>
                    </m:r>
                  </m:e>
                  <m:e>
                    <m:r>
                      <m:rPr>
                        <m:sty m:val="p"/>
                      </m:rPr>
                      <m:t>⟨</m:t>
                    </m:r>
                    <m:r>
                      <m:rPr>
                        <m:sty m:val="b"/>
                      </m:rPr>
                      <m:t>H</m:t>
                    </m:r>
                    <m:r>
                      <m:rPr>
                        <m:sty m:val="b"/>
                      </m:rPr>
                      <m:t>V</m:t>
                    </m:r>
                    <m:r>
                      <m:rPr>
                        <m:sty m:val="p"/>
                      </m:rPr>
                      <m:t>⋅</m:t>
                    </m:r>
                    <m:r>
                      <m:rPr>
                        <m:sty m:val="b"/>
                      </m:rPr>
                      <m:t>V</m:t>
                    </m:r>
                    <m:sSup>
                      <m:e>
                        <m:r>
                          <m:rPr>
                            <m:sty m:val="b"/>
                          </m:rPr>
                          <m:t>V</m:t>
                        </m:r>
                      </m:e>
                      <m:sup>
                        <m:r>
                          <m:rPr>
                            <m:sty m:val="p"/>
                          </m:rPr>
                          <m:t>*</m:t>
                        </m:r>
                      </m:sup>
                    </m:sSup>
                    <m:r>
                      <m:rPr>
                        <m:sty m:val="p"/>
                      </m:rPr>
                      <m:t>⟩</m:t>
                    </m:r>
                  </m:e>
                </m:mr>
                <m:mr>
                  <m:e>
                    <m:r>
                      <m:rPr>
                        <m:sty m:val="p"/>
                      </m:rPr>
                      <m:t>⟨</m:t>
                    </m:r>
                    <m:r>
                      <m:t>V</m:t>
                    </m:r>
                    <m:r>
                      <m:t>V</m:t>
                    </m:r>
                    <m:r>
                      <m:rPr>
                        <m:sty m:val="p"/>
                      </m:rPr>
                      <m:t>⋅</m:t>
                    </m:r>
                    <m:r>
                      <m:t>H</m:t>
                    </m:r>
                    <m:sSup>
                      <m:e>
                        <m:r>
                          <m:t>H</m:t>
                        </m:r>
                      </m:e>
                      <m:sup>
                        <m:r>
                          <m:rPr>
                            <m:sty m:val="p"/>
                          </m:rPr>
                          <m:t>*</m:t>
                        </m:r>
                      </m:sup>
                    </m:sSup>
                    <m:r>
                      <m:rPr>
                        <m:sty m:val="p"/>
                      </m:rPr>
                      <m:t>⟩</m:t>
                    </m:r>
                  </m:e>
                  <m:e>
                    <m:r>
                      <m:rPr>
                        <m:sty m:val="p"/>
                      </m:rPr>
                      <m:t>⟨</m:t>
                    </m:r>
                    <m:r>
                      <m:t>V</m:t>
                    </m:r>
                    <m:r>
                      <m:t>V</m:t>
                    </m:r>
                    <m:r>
                      <m:rPr>
                        <m:sty m:val="p"/>
                      </m:rPr>
                      <m:t>⋅</m:t>
                    </m:r>
                    <m:r>
                      <m:t>H</m:t>
                    </m:r>
                    <m:sSup>
                      <m:e>
                        <m:r>
                          <m:t>V</m:t>
                        </m:r>
                      </m:e>
                      <m:sup>
                        <m:r>
                          <m:rPr>
                            <m:sty m:val="p"/>
                          </m:rPr>
                          <m:t>*</m:t>
                        </m:r>
                      </m:sup>
                    </m:sSup>
                    <m:r>
                      <m:rPr>
                        <m:sty m:val="p"/>
                      </m:rPr>
                      <m:t>⟩</m:t>
                    </m:r>
                  </m:e>
                  <m:e>
                    <m:r>
                      <m:rPr>
                        <m:sty m:val="p"/>
                      </m:rPr>
                      <m:t>⟨</m:t>
                    </m:r>
                    <m:r>
                      <m:rPr>
                        <m:sty m:val="p"/>
                      </m:rPr>
                      <m:t>|</m:t>
                    </m:r>
                    <m:r>
                      <m:rPr>
                        <m:sty m:val="b"/>
                      </m:rPr>
                      <m:t>V</m:t>
                    </m:r>
                    <m:r>
                      <m:rPr>
                        <m:sty m:val="b"/>
                      </m:rPr>
                      <m:t>V</m:t>
                    </m:r>
                    <m:sSup>
                      <m:e>
                        <m:r>
                          <m:rPr>
                            <m:sty m:val="p"/>
                          </m:rPr>
                          <m:t>|</m:t>
                        </m:r>
                      </m:e>
                      <m:sup>
                        <m:r>
                          <m:t>2</m:t>
                        </m:r>
                      </m:sup>
                    </m:sSup>
                    <m:r>
                      <m:rPr>
                        <m:sty m:val="p"/>
                      </m:rPr>
                      <m:t>⟩</m:t>
                    </m:r>
                  </m:e>
                </m:mr>
              </m:m>
            </m:e>
          </m:d>
          <m:r>
            <m:t>  </m:t>
          </m:r>
          <m:r>
            <m:rPr>
              <m:sty m:val="p"/>
            </m:rPr>
            <m:t>(</m:t>
          </m:r>
          <m:r>
            <m:t>16</m:t>
          </m:r>
          <m:r>
            <m:rPr>
              <m:sty m:val="p"/>
            </m:rPr>
            <m:t>)</m:t>
          </m:r>
        </m:oMath>
      </m:oMathPara>
      <w:bookmarkEnd w:id="303"/>
    </w:p>
    <w:p>
      <w:pPr>
        <w:pStyle w:val="FirstParagraph"/>
      </w:pPr>
      <w:r>
        <w:t xml:space="preserve">Furthermore, for compact polarimetric data, it is recommended to store them, by simple transformation, under the circular-circular basis, since RR and RL polarizations (Eq. </w:t>
      </w:r>
      <w:hyperlink w:anchor="eq:sar-pol-covmat-eq6">
        <w:r>
          <w:rPr>
            <w:rStyle w:val="Hyperlink"/>
          </w:rPr>
          <w:t xml:space="preserve">17</w:t>
        </w:r>
      </w:hyperlink>
      <w:r>
        <w:t xml:space="preserve">) permit faster and more intuitive RGB visualizations (R=RR, G=RR/(RR+RL), B= RL).</w:t>
      </w:r>
    </w:p>
    <w:p>
      <w:pPr>
        <w:pStyle w:val="Textkrper"/>
      </w:pPr>
      <w:bookmarkStart w:id="304" w:name="eq:sar-pol-covmat-eq6"/>
      <m:oMathPara>
        <m:oMathParaPr>
          <m:jc m:val="center"/>
        </m:oMathParaPr>
        <m:oMath>
          <m:r>
            <m:rPr>
              <m:nor/>
              <m:sty m:val="p"/>
            </m:rPr>
            <m:t>CH-CV (C2 circular):</m:t>
          </m:r>
          <m:r>
            <m:t> </m:t>
          </m:r>
          <m:r>
            <m:t>C</m:t>
          </m:r>
          <m:sSub>
            <m:e>
              <m:r>
                <m:t>2</m:t>
              </m:r>
            </m:e>
            <m:sub>
              <m:r>
                <m:t>c</m:t>
              </m:r>
            </m:sub>
          </m:sSub>
          <m:r>
            <m:rPr>
              <m:sty m:val="p"/>
            </m:rPr>
            <m:t>=</m:t>
          </m:r>
          <m:d>
            <m:dPr>
              <m:begChr m:val="["/>
              <m:sepChr m:val=""/>
              <m:endChr m:val="]"/>
              <m:grow/>
            </m:dPr>
            <m:e>
              <m:m>
                <m:mPr>
                  <m:baseJc m:val="center"/>
                  <m:plcHide m:val="on"/>
                  <m:mcs>
                    <m:mc>
                      <m:mcPr>
                        <m:mcJc m:val="center"/>
                        <m:count m:val="1"/>
                      </m:mcPr>
                    </m:mc>
                    <m:mc>
                      <m:mcPr>
                        <m:mcJc m:val="center"/>
                        <m:count m:val="1"/>
                      </m:mcPr>
                    </m:mc>
                  </m:mcs>
                </m:mPr>
                <m:mr>
                  <m:e>
                    <m:r>
                      <m:rPr>
                        <m:sty m:val="p"/>
                      </m:rPr>
                      <m:t>⟨</m:t>
                    </m:r>
                    <m:r>
                      <m:rPr>
                        <m:sty m:val="p"/>
                      </m:rPr>
                      <m:t>|</m:t>
                    </m:r>
                    <m:r>
                      <m:rPr>
                        <m:sty m:val="b"/>
                      </m:rPr>
                      <m:t>R</m:t>
                    </m:r>
                    <m:r>
                      <m:rPr>
                        <m:sty m:val="b"/>
                      </m:rPr>
                      <m:t>R</m:t>
                    </m:r>
                    <m:sSup>
                      <m:e>
                        <m:r>
                          <m:rPr>
                            <m:sty m:val="p"/>
                          </m:rPr>
                          <m:t>|</m:t>
                        </m:r>
                      </m:e>
                      <m:sup>
                        <m:r>
                          <m:t>2</m:t>
                        </m:r>
                      </m:sup>
                    </m:sSup>
                    <m:r>
                      <m:rPr>
                        <m:sty m:val="p"/>
                      </m:rPr>
                      <m:t>⟩</m:t>
                    </m:r>
                  </m:e>
                  <m:e>
                    <m:r>
                      <m:rPr>
                        <m:sty m:val="p"/>
                      </m:rPr>
                      <m:t>⟨</m:t>
                    </m:r>
                    <m:r>
                      <m:rPr>
                        <m:sty m:val="b"/>
                      </m:rPr>
                      <m:t>R</m:t>
                    </m:r>
                    <m:r>
                      <m:rPr>
                        <m:sty m:val="b"/>
                      </m:rPr>
                      <m:t>R</m:t>
                    </m:r>
                    <m:r>
                      <m:rPr>
                        <m:sty m:val="p"/>
                      </m:rPr>
                      <m:t>⋅</m:t>
                    </m:r>
                    <m:r>
                      <m:rPr>
                        <m:sty m:val="b"/>
                      </m:rPr>
                      <m:t>R</m:t>
                    </m:r>
                    <m:sSup>
                      <m:e>
                        <m:r>
                          <m:rPr>
                            <m:sty m:val="b"/>
                          </m:rPr>
                          <m:t>¬</m:t>
                        </m:r>
                      </m:e>
                      <m:sup>
                        <m:r>
                          <m:rPr>
                            <m:sty m:val="p"/>
                          </m:rPr>
                          <m:t>*</m:t>
                        </m:r>
                      </m:sup>
                    </m:sSup>
                    <m:r>
                      <m:rPr>
                        <m:sty m:val="p"/>
                      </m:rPr>
                      <m:t>⟩</m:t>
                    </m:r>
                  </m:e>
                </m:mr>
                <m:mr>
                  <m:e>
                    <m:r>
                      <m:rPr>
                        <m:sty m:val="p"/>
                      </m:rPr>
                      <m:t>⟨</m:t>
                    </m:r>
                    <m:r>
                      <m:t>R</m:t>
                    </m:r>
                    <m:r>
                      <m:t>L</m:t>
                    </m:r>
                    <m:r>
                      <m:rPr>
                        <m:sty m:val="p"/>
                      </m:rPr>
                      <m:t>⋅</m:t>
                    </m:r>
                    <m:r>
                      <m:t>R</m:t>
                    </m:r>
                    <m:sSup>
                      <m:e>
                        <m:r>
                          <m:t>R</m:t>
                        </m:r>
                      </m:e>
                      <m:sup>
                        <m:r>
                          <m:rPr>
                            <m:sty m:val="p"/>
                          </m:rPr>
                          <m:t>*</m:t>
                        </m:r>
                      </m:sup>
                    </m:sSup>
                    <m:r>
                      <m:rPr>
                        <m:sty m:val="p"/>
                      </m:rPr>
                      <m:t>⟩</m:t>
                    </m:r>
                  </m:e>
                  <m:e>
                    <m:r>
                      <m:rPr>
                        <m:sty m:val="p"/>
                      </m:rPr>
                      <m:t>⟨</m:t>
                    </m:r>
                    <m:r>
                      <m:rPr>
                        <m:sty m:val="p"/>
                      </m:rPr>
                      <m:t>|</m:t>
                    </m:r>
                    <m:r>
                      <m:rPr>
                        <m:sty m:val="b"/>
                      </m:rPr>
                      <m:t>R</m:t>
                    </m:r>
                    <m:r>
                      <m:rPr>
                        <m:sty m:val="b"/>
                      </m:rPr>
                      <m:t>L</m:t>
                    </m:r>
                    <m:sSup>
                      <m:e>
                        <m:r>
                          <m:rPr>
                            <m:sty m:val="p"/>
                          </m:rPr>
                          <m:t>|</m:t>
                        </m:r>
                      </m:e>
                      <m:sup>
                        <m:r>
                          <m:t>2</m:t>
                        </m:r>
                      </m:sup>
                    </m:sSup>
                    <m:r>
                      <m:rPr>
                        <m:sty m:val="p"/>
                      </m:rPr>
                      <m:t>⟩</m:t>
                    </m:r>
                  </m:e>
                </m:mr>
              </m:m>
            </m:e>
          </m:d>
          <m:r>
            <m:t>  </m:t>
          </m:r>
          <m:r>
            <m:rPr>
              <m:sty m:val="p"/>
            </m:rPr>
            <m:t>(</m:t>
          </m:r>
          <m:r>
            <m:t>17</m:t>
          </m:r>
          <m:r>
            <m:rPr>
              <m:sty m:val="p"/>
            </m:rPr>
            <m:t>)</m:t>
          </m:r>
        </m:oMath>
      </m:oMathPara>
      <w:bookmarkEnd w:id="304"/>
    </w:p>
    <w:bookmarkEnd w:id="305"/>
    <w:bookmarkStart w:id="330" w:name="sec:annex-sar-orb-example"/>
    <w:p>
      <w:pPr>
        <w:pStyle w:val="berschrift3"/>
      </w:pPr>
      <w:r>
        <w:t xml:space="preserve">Ocean Radar Backscatter example</w:t>
      </w:r>
    </w:p>
    <w:p>
      <w:pPr>
        <w:pStyle w:val="FirstParagraph"/>
      </w:pPr>
      <w:r>
        <w:t xml:space="preserve">In contrast to NRB and POL, CEOS-ARD Ocean Radar Backscatter ORB products are geoid corrected and are provided in the Sigma-Nought (</w:t>
      </w:r>
      <m:oMath>
        <m:sSubSup>
          <m:e>
            <m:r>
              <m:t>σ</m:t>
            </m:r>
          </m:e>
          <m:sub>
            <m:r>
              <m:t>E</m:t>
            </m:r>
          </m:sub>
          <m:sup>
            <m:r>
              <m:t>0</m:t>
            </m:r>
          </m:sup>
        </m:sSubSup>
      </m:oMath>
      <w:r>
        <w:t xml:space="preserve">) backscatter convention (Figure </w:t>
      </w:r>
      <w:hyperlink w:anchor="fig:sar-orb-example-fig1a">
        <w:r>
          <w:rPr>
            <w:rStyle w:val="Hyperlink"/>
          </w:rPr>
          <w:t xml:space="preserve">1</w:t>
        </w:r>
      </w:hyperlink>
      <w:r>
        <w:t xml:space="preserve">), which is recommended for most ocean applications. In addition, availability of the “Local (or Ellipsoidal) Incidence Angle Image” (Figure </w:t>
      </w:r>
      <w:hyperlink w:anchor="fig:sar-orb-example-fig1d">
        <w:r>
          <w:rPr>
            <w:rStyle w:val="Hyperlink"/>
          </w:rPr>
          <w:t xml:space="preserve">4</w:t>
        </w:r>
      </w:hyperlink>
      <w:r>
        <w:t xml:space="preserve">) and “Look Direction Image” per-pixel metadata are highly recommended (otherwise the general metadata “Look Direction Polynomials”) since they required for operational applications like ocean wind field estimates.</w:t>
      </w:r>
    </w:p>
    <w:p>
      <w:pPr>
        <w:pStyle w:val="Textkrper"/>
      </w:pPr>
      <w:r>
        <w:t xml:space="preserve">The following figures show Sentinel-1 ORB products of the Tropical Cyclone Harold passing Vanuatu on April 6, 2020:</w:t>
      </w:r>
    </w:p>
    <w:bookmarkStart w:id="309" w:name="fig:sar-orb-example-fig1a"/>
    <w:p>
      <w:pPr>
        <w:pStyle w:val="CaptionedFigure"/>
      </w:pPr>
      <w:r>
        <w:drawing>
          <wp:inline>
            <wp:extent cx="3810000" cy="2540000"/>
            <wp:effectExtent b="0" l="0" r="0" t="0"/>
            <wp:docPr descr="Figure 1: VV intensity; Processing: A. Rosenqvist (soloEO)" title="" id="307" name="Picture"/>
            <a:graphic>
              <a:graphicData uri="http://schemas.openxmlformats.org/drawingml/2006/picture">
                <pic:pic>
                  <pic:nvPicPr>
                    <pic:cNvPr descr="assets/sar-orb-examples/S1-ORB-VV.png" id="308" name="Picture"/>
                    <pic:cNvPicPr>
                      <a:picLocks noChangeArrowheads="1" noChangeAspect="1"/>
                    </pic:cNvPicPr>
                  </pic:nvPicPr>
                  <pic:blipFill>
                    <a:blip r:embed="rId306"/>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1: VV intensity; Processing: A. Rosenqvist (soloEO)</w:t>
      </w:r>
    </w:p>
    <w:bookmarkEnd w:id="309"/>
    <w:bookmarkStart w:id="313" w:name="fig:sar-orb-example-fig1b"/>
    <w:p>
      <w:pPr>
        <w:pStyle w:val="CaptionedFigure"/>
      </w:pPr>
      <w:r>
        <w:drawing>
          <wp:inline>
            <wp:extent cx="3810000" cy="2540000"/>
            <wp:effectExtent b="0" l="0" r="0" t="0"/>
            <wp:docPr descr="Figure 2: VH intensity; Processing: A. Rosenqvist (soloEO)" title="" id="311" name="Picture"/>
            <a:graphic>
              <a:graphicData uri="http://schemas.openxmlformats.org/drawingml/2006/picture">
                <pic:pic>
                  <pic:nvPicPr>
                    <pic:cNvPr descr="assets/sar-orb-examples/S1-ORB-VH.png" id="312" name="Picture"/>
                    <pic:cNvPicPr>
                      <a:picLocks noChangeArrowheads="1" noChangeAspect="1"/>
                    </pic:cNvPicPr>
                  </pic:nvPicPr>
                  <pic:blipFill>
                    <a:blip r:embed="rId310"/>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2: VH intensity; Processing: A. Rosenqvist (soloEO)</w:t>
      </w:r>
    </w:p>
    <w:bookmarkEnd w:id="313"/>
    <w:bookmarkStart w:id="317" w:name="fig:sar-orb-example-fig1c"/>
    <w:p>
      <w:pPr>
        <w:pStyle w:val="CaptionedFigure"/>
      </w:pPr>
      <w:r>
        <w:drawing>
          <wp:inline>
            <wp:extent cx="3810000" cy="2540000"/>
            <wp:effectExtent b="0" l="0" r="0" t="0"/>
            <wp:docPr descr="Figure 3: Data mask image; Processing: A. Rosenqvist (soloEO)" title="" id="315" name="Picture"/>
            <a:graphic>
              <a:graphicData uri="http://schemas.openxmlformats.org/drawingml/2006/picture">
                <pic:pic>
                  <pic:nvPicPr>
                    <pic:cNvPr descr="assets/sar-orb-examples/S1-ORB-data-mask.png" id="316" name="Picture"/>
                    <pic:cNvPicPr>
                      <a:picLocks noChangeArrowheads="1" noChangeAspect="1"/>
                    </pic:cNvPicPr>
                  </pic:nvPicPr>
                  <pic:blipFill>
                    <a:blip r:embed="rId314"/>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Data mask image; Processing: A. Rosenqvist (soloEO)</w:t>
      </w:r>
    </w:p>
    <w:bookmarkEnd w:id="317"/>
    <w:bookmarkStart w:id="321" w:name="fig:sar-orb-example-fig1d"/>
    <w:p>
      <w:pPr>
        <w:pStyle w:val="CaptionedFigure"/>
      </w:pPr>
      <w:r>
        <w:drawing>
          <wp:inline>
            <wp:extent cx="3810000" cy="2540000"/>
            <wp:effectExtent b="0" l="0" r="0" t="0"/>
            <wp:docPr descr="Figure 4: Local incident angle; Processing: A. Rosenqvist (soloEO)" title="" id="319" name="Picture"/>
            <a:graphic>
              <a:graphicData uri="http://schemas.openxmlformats.org/drawingml/2006/picture">
                <pic:pic>
                  <pic:nvPicPr>
                    <pic:cNvPr descr="assets/sar-orb-examples/S1-ORB-local-indicident-angle.png" id="320" name="Picture"/>
                    <pic:cNvPicPr>
                      <a:picLocks noChangeArrowheads="1" noChangeAspect="1"/>
                    </pic:cNvPicPr>
                  </pic:nvPicPr>
                  <pic:blipFill>
                    <a:blip r:embed="rId31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Local incident angle; Processing: A. Rosenqvist (soloEO)</w:t>
      </w:r>
    </w:p>
    <w:bookmarkEnd w:id="321"/>
    <w:p>
      <w:pPr>
        <w:pStyle w:val="Textkrper"/>
      </w:pPr>
      <w:r>
        <w:t xml:space="preserve">Another useful file is the “Mean Wind-Normalised Backscatter Measurements” (Figure </w:t>
      </w:r>
      <w:hyperlink w:anchor="fig:sar-orb-example-fig2b">
        <w:r>
          <w:rPr>
            <w:rStyle w:val="Hyperlink"/>
          </w:rPr>
          <w:t xml:space="preserve">6</w:t>
        </w:r>
      </w:hyperlink>
      <w:r>
        <w:t xml:space="preserve">) which efficiently attenuates intensity variation along range and visually enhances oceanic features. This file is calculated as the ratio between the backscatter intensity and a simulated backscatter intensity image generated using an ocean surface wind model, like CMOD_IRF2</w:t>
      </w:r>
      <w:r>
        <w:t xml:space="preserve"> </w:t>
      </w:r>
      <w:r>
        <w:t xml:space="preserve">(</w:t>
      </w:r>
      <w:hyperlink w:anchor="ref-quilfen1998">
        <w:r>
          <w:rPr>
            <w:rStyle w:val="Hyperlink"/>
          </w:rPr>
          <w:t xml:space="preserve">Yves et al. 1998</w:t>
        </w:r>
      </w:hyperlink>
      <w:r>
        <w:t xml:space="preserve">)</w:t>
      </w:r>
      <w:r>
        <w:t xml:space="preserve"> </w:t>
      </w:r>
      <w:r>
        <w:t xml:space="preserve">for VV polarization or CMOD_IRF2K</w:t>
      </w:r>
      <w:r>
        <w:t xml:space="preserve"> </w:t>
      </w:r>
      <w:r>
        <w:t xml:space="preserve">(</w:t>
      </w:r>
      <w:hyperlink w:anchor="ref-vachon2000">
        <w:r>
          <w:rPr>
            <w:rStyle w:val="Hyperlink"/>
          </w:rPr>
          <w:t xml:space="preserve">Vachon and Dobson 2000</w:t>
        </w:r>
      </w:hyperlink>
      <w:r>
        <w:t xml:space="preserve">)</w:t>
      </w:r>
      <w:r>
        <w:t xml:space="preserve"> </w:t>
      </w:r>
      <w:r>
        <w:t xml:space="preserve">for HH polarization, and the SAR local incidence angle and the look direction information.</w:t>
      </w:r>
    </w:p>
    <w:p>
      <w:pPr>
        <w:pStyle w:val="Textkrper"/>
      </w:pPr>
      <w:r>
        <w:t xml:space="preserve">The following figures show Sentinel-1 EW ORB products:</w:t>
      </w:r>
    </w:p>
    <w:bookmarkStart w:id="325" w:name="fig:sar-orb-example-fig2a"/>
    <w:p>
      <w:pPr>
        <w:pStyle w:val="CaptionedFigure"/>
      </w:pPr>
      <w:r>
        <w:drawing>
          <wp:inline>
            <wp:extent cx="3810000" cy="2540000"/>
            <wp:effectExtent b="0" l="0" r="0" t="0"/>
            <wp:docPr descr="Figure 5: ORB intensity (Sigma-Nought); Processing: G. Hajduch (CLS)" title="" id="323" name="Picture"/>
            <a:graphic>
              <a:graphicData uri="http://schemas.openxmlformats.org/drawingml/2006/picture">
                <pic:pic>
                  <pic:nvPicPr>
                    <pic:cNvPr descr="assets/sar-orb-examples/S1-ORB-sigma-nought.png" id="324" name="Picture"/>
                    <pic:cNvPicPr>
                      <a:picLocks noChangeArrowheads="1" noChangeAspect="1"/>
                    </pic:cNvPicPr>
                  </pic:nvPicPr>
                  <pic:blipFill>
                    <a:blip r:embed="rId322"/>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ORB intensity (Sigma-Nought); Processing: G. Hajduch (CLS)</w:t>
      </w:r>
    </w:p>
    <w:bookmarkEnd w:id="325"/>
    <w:bookmarkStart w:id="329" w:name="fig:sar-orb-example-fig2b"/>
    <w:p>
      <w:pPr>
        <w:pStyle w:val="CaptionedFigure"/>
      </w:pPr>
      <w:r>
        <w:drawing>
          <wp:inline>
            <wp:extent cx="3810000" cy="2540000"/>
            <wp:effectExtent b="0" l="0" r="0" t="0"/>
            <wp:docPr descr="Figure 6: Intensity compensated with the “Mean Wind-Normalised Backscatter Measurement” (i.e., not Sigma-Nought) and geocoded; Processing: G. Hajduch (CLS)" title="" id="327" name="Picture"/>
            <a:graphic>
              <a:graphicData uri="http://schemas.openxmlformats.org/drawingml/2006/picture">
                <pic:pic>
                  <pic:nvPicPr>
                    <pic:cNvPr descr="assets/sar-orb-examples/S1-ORB-intesity-compensated.png" id="328" name="Picture"/>
                    <pic:cNvPicPr>
                      <a:picLocks noChangeArrowheads="1" noChangeAspect="1"/>
                    </pic:cNvPicPr>
                  </pic:nvPicPr>
                  <pic:blipFill>
                    <a:blip r:embed="rId326"/>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Intensity compensated with the “Mean Wind-Normalised Backscatter Measurement” (i.e., not Sigma-Nought) and geocoded; Processing: G. Hajduch (CLS)</w:t>
      </w:r>
    </w:p>
    <w:bookmarkEnd w:id="329"/>
    <w:bookmarkEnd w:id="330"/>
    <w:bookmarkEnd w:id="331"/>
    <w:bookmarkEnd w:id="332"/>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80">
    <w:p>
      <w:pPr>
        <w:pStyle w:val="Funotentext"/>
      </w:pPr>
      <w:r>
        <w:rPr>
          <w:rStyle w:val="Funotenzeichen"/>
        </w:rPr>
        <w:footnoteRef/>
      </w:r>
      <w:r>
        <w:t xml:space="preserve"> </w:t>
      </w:r>
      <w:r>
        <w:t xml:space="preserve">For data crossing the North or South Pole, it is recommended to produce two distinct products and to use the appropriate “Pass direction” in each.</w:t>
      </w:r>
    </w:p>
  </w:footnote>
  <w:footnote w:id="158">
    <w:p>
      <w:pPr>
        <w:pStyle w:val="Funotentext"/>
      </w:pPr>
      <w:r>
        <w:rPr>
          <w:rStyle w:val="Funotenzeichen"/>
        </w:rPr>
        <w:footnoteRef/>
      </w:r>
      <w:r>
        <w:t xml:space="preserve"> </w:t>
      </w:r>
      <w:r>
        <w:t xml:space="preserve">The look direction angle represents the planar angle between north and each range direction. It is not constant in range, especially close to the poles.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10" Target="media/rId310.png" /><Relationship Type="http://schemas.openxmlformats.org/officeDocument/2006/relationships/image" Id="rId306" Target="media/rId306.png" /><Relationship Type="http://schemas.openxmlformats.org/officeDocument/2006/relationships/image" Id="rId314" Target="media/rId314.png" /><Relationship Type="http://schemas.openxmlformats.org/officeDocument/2006/relationships/image" Id="rId326" Target="media/rId326.png" /><Relationship Type="http://schemas.openxmlformats.org/officeDocument/2006/relationships/image" Id="rId318" Target="media/rId318.png" /><Relationship Type="http://schemas.openxmlformats.org/officeDocument/2006/relationships/image" Id="rId322" Target="media/rId322.png" /><Relationship Type="http://schemas.openxmlformats.org/officeDocument/2006/relationships/hyperlink" Id="rId26" Target="https://ceos.org/ard" TargetMode="External" /><Relationship Type="http://schemas.openxmlformats.org/officeDocument/2006/relationships/hyperlink" Id="rId260" Target="https://ceos.org/ard/files/CEOS_ARD_Governance_Framework_18-October-2021.pdf" TargetMode="External" /><Relationship Type="http://schemas.openxmlformats.org/officeDocument/2006/relationships/hyperlink" Id="rId30" Target="https://ceos.org/ard/files/PFS/SAR/v1.3/CEOS-ARD_PFS_Synthetic_Aperture_Radar_v1.3.pdf" TargetMode="External" /><Relationship Type="http://schemas.openxmlformats.org/officeDocument/2006/relationships/hyperlink" Id="rId68" Target="https://ceos.org/mim-database/" TargetMode="External" /><Relationship Type="http://schemas.openxmlformats.org/officeDocument/2006/relationships/hyperlink" Id="rId267" Target="https://doi.org/10.1029/2011JE003986" TargetMode="External" /><Relationship Type="http://schemas.openxmlformats.org/officeDocument/2006/relationships/hyperlink" Id="rId277" Target="https://doi.org/10.1029/97JC01911" TargetMode="External" /><Relationship Type="http://schemas.openxmlformats.org/officeDocument/2006/relationships/hyperlink" Id="rId273" Target="https://doi.org/10.1080/07038992.2000.10874781" TargetMode="External" /><Relationship Type="http://schemas.openxmlformats.org/officeDocument/2006/relationships/hyperlink" Id="rId279" Target="https://doi.org/10.1109/LGRS.2017.2753580" TargetMode="External" /><Relationship Type="http://schemas.openxmlformats.org/officeDocument/2006/relationships/hyperlink" Id="rId265" Target="https://doi.org/10.1109/TGRS.2008.2002881" TargetMode="External" /><Relationship Type="http://schemas.openxmlformats.org/officeDocument/2006/relationships/hyperlink" Id="rId281" Target="https://doi.org/10.1109/TGRS.2010.2051333" TargetMode="External" /><Relationship Type="http://schemas.openxmlformats.org/officeDocument/2006/relationships/hyperlink" Id="rId275" Target="https://doi.org/10.1109/TGRS.2010.2099124" TargetMode="External" /><Relationship Type="http://schemas.openxmlformats.org/officeDocument/2006/relationships/hyperlink" Id="rId271" Target="https://doi.org/10.1109/TGRS.2011.2120616" TargetMode="External" /><Relationship Type="http://schemas.openxmlformats.org/officeDocument/2006/relationships/hyperlink" Id="rId269" Target="https://doi.org/10.1109/TGRS.2022.3147472"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60" Target="https://ceos.org/ard/files/CEOS_ARD_Governance_Framework_18-October-2021.pdf" TargetMode="External" /><Relationship Type="http://schemas.openxmlformats.org/officeDocument/2006/relationships/hyperlink" Id="rId30" Target="https://ceos.org/ard/files/PFS/SAR/v1.3/CEOS-ARD_PFS_Synthetic_Aperture_Radar_v1.3.pdf" TargetMode="External" /><Relationship Type="http://schemas.openxmlformats.org/officeDocument/2006/relationships/hyperlink" Id="rId68" Target="https://ceos.org/mim-database/" TargetMode="External" /><Relationship Type="http://schemas.openxmlformats.org/officeDocument/2006/relationships/hyperlink" Id="rId267" Target="https://doi.org/10.1029/2011JE003986" TargetMode="External" /><Relationship Type="http://schemas.openxmlformats.org/officeDocument/2006/relationships/hyperlink" Id="rId277" Target="https://doi.org/10.1029/97JC01911" TargetMode="External" /><Relationship Type="http://schemas.openxmlformats.org/officeDocument/2006/relationships/hyperlink" Id="rId273" Target="https://doi.org/10.1080/07038992.2000.10874781" TargetMode="External" /><Relationship Type="http://schemas.openxmlformats.org/officeDocument/2006/relationships/hyperlink" Id="rId279" Target="https://doi.org/10.1109/LGRS.2017.2753580" TargetMode="External" /><Relationship Type="http://schemas.openxmlformats.org/officeDocument/2006/relationships/hyperlink" Id="rId265" Target="https://doi.org/10.1109/TGRS.2008.2002881" TargetMode="External" /><Relationship Type="http://schemas.openxmlformats.org/officeDocument/2006/relationships/hyperlink" Id="rId281" Target="https://doi.org/10.1109/TGRS.2010.2051333" TargetMode="External" /><Relationship Type="http://schemas.openxmlformats.org/officeDocument/2006/relationships/hyperlink" Id="rId275" Target="https://doi.org/10.1109/TGRS.2010.2099124" TargetMode="External" /><Relationship Type="http://schemas.openxmlformats.org/officeDocument/2006/relationships/hyperlink" Id="rId271" Target="https://doi.org/10.1109/TGRS.2011.2120616" TargetMode="External" /><Relationship Type="http://schemas.openxmlformats.org/officeDocument/2006/relationships/hyperlink" Id="rId269" Target="https://doi.org/10.1109/TGRS.2022.3147472"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Ocean Radar Backscatter - Version 1.1.0-draft</dc:title>
  <dc:creator/>
  <dc:language>en</dc:language>
  <cp:keywords/>
  <dcterms:created xsi:type="dcterms:W3CDTF">2026-05-25T14:47:24Z</dcterms:created>
  <dcterms:modified xsi:type="dcterms:W3CDTF">2026-05-25T14:47:24Z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/home/runner/work/ceos-ard/ceos-ard/build/ORB.bib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p “i”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